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1ADF" w14:textId="77777777" w:rsidR="009D080D" w:rsidRPr="005D4A7F" w:rsidRDefault="007C5BBA">
      <w:pPr>
        <w:pBdr>
          <w:top w:val="nil"/>
          <w:left w:val="nil"/>
          <w:bottom w:val="nil"/>
          <w:right w:val="nil"/>
          <w:between w:val="nil"/>
        </w:pBdr>
        <w:spacing w:before="240" w:line="240" w:lineRule="auto"/>
      </w:pPr>
      <w:r w:rsidRPr="005D4A7F">
        <w:t>Article</w:t>
      </w:r>
    </w:p>
    <w:p w14:paraId="1D78AF6F" w14:textId="165472AC" w:rsidR="007E76B7" w:rsidRPr="005C7E61" w:rsidRDefault="008F3885" w:rsidP="005C7E61">
      <w:pPr>
        <w:pBdr>
          <w:top w:val="nil"/>
          <w:left w:val="nil"/>
          <w:bottom w:val="nil"/>
          <w:right w:val="nil"/>
          <w:between w:val="nil"/>
        </w:pBdr>
        <w:spacing w:line="240" w:lineRule="auto"/>
        <w:jc w:val="left"/>
        <w:rPr>
          <w:b/>
          <w:bCs/>
          <w:sz w:val="36"/>
          <w:szCs w:val="36"/>
        </w:rPr>
      </w:pPr>
      <w:r w:rsidRPr="008F3885">
        <w:rPr>
          <w:b/>
          <w:bCs/>
          <w:sz w:val="36"/>
          <w:szCs w:val="36"/>
        </w:rPr>
        <w:t>Isolation and Identification of Enterococcus faecalis and Enterococcus lactis from Human Clinical Specimens</w:t>
      </w:r>
    </w:p>
    <w:p w14:paraId="1AF75EC9" w14:textId="77777777" w:rsidR="0011399B" w:rsidRPr="005D4A7F" w:rsidRDefault="0011399B">
      <w:pPr>
        <w:pBdr>
          <w:top w:val="nil"/>
          <w:left w:val="nil"/>
          <w:bottom w:val="nil"/>
          <w:right w:val="nil"/>
          <w:between w:val="nil"/>
        </w:pBdr>
        <w:spacing w:line="240" w:lineRule="auto"/>
        <w:jc w:val="left"/>
        <w:rPr>
          <w:b/>
          <w:sz w:val="36"/>
          <w:szCs w:val="36"/>
        </w:rPr>
      </w:pPr>
    </w:p>
    <w:p w14:paraId="30BF8C34" w14:textId="184FDBDC" w:rsidR="00D64192" w:rsidRPr="00D64192" w:rsidRDefault="008F3885" w:rsidP="008F3885">
      <w:pPr>
        <w:pBdr>
          <w:top w:val="nil"/>
          <w:left w:val="nil"/>
          <w:bottom w:val="nil"/>
          <w:right w:val="nil"/>
          <w:between w:val="nil"/>
        </w:pBdr>
        <w:spacing w:line="240" w:lineRule="auto"/>
        <w:jc w:val="left"/>
        <w:rPr>
          <w:b/>
          <w:vertAlign w:val="superscript"/>
          <w:rtl/>
          <w:lang w:bidi="ar-IQ"/>
        </w:rPr>
      </w:pPr>
      <w:r w:rsidRPr="008F3885">
        <w:rPr>
          <w:b/>
          <w:bCs/>
        </w:rPr>
        <w:t>Israa Omar Humaidan¹, Aws Ibrahim Sulaiman</w:t>
      </w:r>
      <w:r w:rsidR="005C7E61" w:rsidRPr="005C7E61">
        <w:rPr>
          <w:b/>
          <w:bCs/>
          <w:vertAlign w:val="superscript"/>
        </w:rPr>
        <w:t>*2</w:t>
      </w:r>
    </w:p>
    <w:p w14:paraId="2596650F" w14:textId="3F77E773" w:rsidR="00D64192" w:rsidRDefault="00D64192" w:rsidP="00D64192">
      <w:pPr>
        <w:pBdr>
          <w:top w:val="nil"/>
          <w:left w:val="nil"/>
          <w:bottom w:val="nil"/>
          <w:right w:val="nil"/>
          <w:between w:val="nil"/>
        </w:pBdr>
        <w:spacing w:line="240" w:lineRule="auto"/>
        <w:rPr>
          <w:sz w:val="16"/>
          <w:szCs w:val="16"/>
        </w:rPr>
      </w:pPr>
      <w:r w:rsidRPr="00D64192">
        <w:rPr>
          <w:sz w:val="16"/>
          <w:szCs w:val="16"/>
        </w:rPr>
        <w:t>1</w:t>
      </w:r>
      <w:r w:rsidR="008F3885">
        <w:rPr>
          <w:sz w:val="16"/>
          <w:szCs w:val="16"/>
        </w:rPr>
        <w:t>.</w:t>
      </w:r>
      <w:r w:rsidR="008F3885" w:rsidRPr="008F3885">
        <w:t xml:space="preserve"> </w:t>
      </w:r>
      <w:r w:rsidR="008F3885" w:rsidRPr="008F3885">
        <w:rPr>
          <w:sz w:val="16"/>
          <w:szCs w:val="16"/>
        </w:rPr>
        <w:t>University of Mosul, College of Science, Department of Biology, Mosul, Iraq</w:t>
      </w:r>
    </w:p>
    <w:p w14:paraId="75F70050" w14:textId="19DE526A" w:rsidR="008F3885" w:rsidRPr="00D64192" w:rsidRDefault="008F3885" w:rsidP="008F3885">
      <w:pPr>
        <w:pBdr>
          <w:top w:val="nil"/>
          <w:left w:val="nil"/>
          <w:bottom w:val="nil"/>
          <w:right w:val="nil"/>
          <w:between w:val="nil"/>
        </w:pBdr>
        <w:spacing w:line="240" w:lineRule="auto"/>
        <w:jc w:val="left"/>
        <w:rPr>
          <w:sz w:val="16"/>
          <w:szCs w:val="16"/>
        </w:rPr>
      </w:pPr>
      <w:r>
        <w:rPr>
          <w:sz w:val="16"/>
          <w:szCs w:val="16"/>
        </w:rPr>
        <w:t xml:space="preserve">2. </w:t>
      </w:r>
      <w:r w:rsidRPr="008F3885">
        <w:rPr>
          <w:sz w:val="16"/>
          <w:szCs w:val="16"/>
        </w:rPr>
        <w:t>University of Mosul, College of Science, Department of Biology, Mosul, Iraq</w:t>
      </w:r>
      <w:r w:rsidR="00A56D72">
        <w:rPr>
          <w:sz w:val="16"/>
          <w:szCs w:val="16"/>
        </w:rPr>
        <w:t xml:space="preserve">., </w:t>
      </w:r>
      <w:r w:rsidRPr="008F3885">
        <w:rPr>
          <w:sz w:val="16"/>
          <w:szCs w:val="16"/>
        </w:rPr>
        <w:t>Assistant Professor, Doctor</w:t>
      </w:r>
      <w:r>
        <w:rPr>
          <w:sz w:val="16"/>
          <w:szCs w:val="16"/>
        </w:rPr>
        <w:t xml:space="preserve">, </w:t>
      </w:r>
      <w:r w:rsidRPr="008F3885">
        <w:rPr>
          <w:sz w:val="16"/>
          <w:szCs w:val="16"/>
        </w:rPr>
        <w:t>Pathogenic Bacteriology</w:t>
      </w:r>
    </w:p>
    <w:p w14:paraId="5F8E19C8" w14:textId="42F066CC" w:rsidR="009D080D" w:rsidRPr="005D4A7F" w:rsidRDefault="00D64192" w:rsidP="007E76B7">
      <w:pPr>
        <w:pBdr>
          <w:top w:val="nil"/>
          <w:left w:val="nil"/>
          <w:bottom w:val="nil"/>
          <w:right w:val="nil"/>
          <w:between w:val="nil"/>
        </w:pBdr>
        <w:spacing w:after="240" w:line="240" w:lineRule="auto"/>
        <w:jc w:val="left"/>
        <w:rPr>
          <w:color w:val="0000FF"/>
          <w:sz w:val="16"/>
          <w:szCs w:val="16"/>
          <w:u w:val="single"/>
        </w:rPr>
      </w:pPr>
      <w:r>
        <w:rPr>
          <w:sz w:val="16"/>
          <w:szCs w:val="16"/>
        </w:rPr>
        <w:t>*</w:t>
      </w:r>
      <w:r w:rsidR="007C5BBA" w:rsidRPr="005D4A7F">
        <w:rPr>
          <w:sz w:val="16"/>
          <w:szCs w:val="16"/>
        </w:rPr>
        <w:t>Correspondence:</w:t>
      </w:r>
      <w:hyperlink r:id="rId8" w:history="1"/>
      <w:r w:rsidR="008F3885" w:rsidRPr="008F3885">
        <w:t xml:space="preserve"> </w:t>
      </w:r>
      <w:hyperlink r:id="rId9" w:history="1">
        <w:r w:rsidR="008F3885" w:rsidRPr="009E1B75">
          <w:rPr>
            <w:rStyle w:val="Hyperlink"/>
            <w:bCs/>
            <w:sz w:val="16"/>
            <w:szCs w:val="16"/>
          </w:rPr>
          <w:t>awssbio61@uomosul.edu.iq</w:t>
        </w:r>
      </w:hyperlink>
      <w:r w:rsidR="008F3885">
        <w:rPr>
          <w:rStyle w:val="Hyperlink"/>
          <w:bCs/>
          <w:sz w:val="16"/>
          <w:szCs w:val="16"/>
        </w:rPr>
        <w:t xml:space="preserve"> </w:t>
      </w:r>
    </w:p>
    <w:tbl>
      <w:tblPr>
        <w:tblStyle w:val="a2"/>
        <w:tblpPr w:leftFromText="198" w:rightFromText="198" w:vertAnchor="page" w:horzAnchor="margin" w:tblpY="7369"/>
        <w:tblW w:w="2410" w:type="dxa"/>
        <w:tblLayout w:type="fixed"/>
        <w:tblLook w:val="0400" w:firstRow="0" w:lastRow="0" w:firstColumn="0" w:lastColumn="0" w:noHBand="0" w:noVBand="1"/>
      </w:tblPr>
      <w:tblGrid>
        <w:gridCol w:w="2410"/>
      </w:tblGrid>
      <w:tr w:rsidR="00441E12" w:rsidRPr="005D4A7F" w14:paraId="717DBFF6" w14:textId="77777777" w:rsidTr="00D64192">
        <w:tc>
          <w:tcPr>
            <w:tcW w:w="2410" w:type="dxa"/>
          </w:tcPr>
          <w:p w14:paraId="339A6E1B" w14:textId="4DFE8390" w:rsidR="00441E12" w:rsidRPr="005D4A7F" w:rsidRDefault="00441E12" w:rsidP="00D64192">
            <w:pPr>
              <w:widowControl/>
              <w:pBdr>
                <w:top w:val="nil"/>
                <w:left w:val="nil"/>
                <w:bottom w:val="nil"/>
                <w:right w:val="nil"/>
                <w:between w:val="nil"/>
              </w:pBdr>
              <w:spacing w:after="120" w:line="240" w:lineRule="auto"/>
              <w:ind w:left="-113" w:right="113"/>
              <w:jc w:val="both"/>
              <w:rPr>
                <w:rFonts w:ascii="Palatino Linotype" w:eastAsia="Palatino Linotype" w:hAnsi="Palatino Linotype" w:cs="Palatino Linotype"/>
                <w:sz w:val="14"/>
                <w:szCs w:val="14"/>
              </w:rPr>
            </w:pPr>
            <w:r w:rsidRPr="005D4A7F">
              <w:rPr>
                <w:rFonts w:ascii="Palatino Linotype" w:eastAsia="Palatino Linotype" w:hAnsi="Palatino Linotype" w:cs="Palatino Linotype"/>
                <w:b/>
                <w:sz w:val="14"/>
                <w:szCs w:val="14"/>
              </w:rPr>
              <w:t>Citation:</w:t>
            </w:r>
            <w:r w:rsidR="00F141B8">
              <w:rPr>
                <w:rFonts w:ascii="Palatino Linotype" w:eastAsia="Palatino Linotype" w:hAnsi="Palatino Linotype" w:cs="Palatino Linotype"/>
                <w:b/>
                <w:sz w:val="14"/>
                <w:szCs w:val="14"/>
              </w:rPr>
              <w:t xml:space="preserve"> </w:t>
            </w:r>
            <w:r w:rsidR="008F3885">
              <w:rPr>
                <w:rFonts w:ascii="Palatino Linotype" w:eastAsia="Palatino Linotype" w:hAnsi="Palatino Linotype" w:cs="Palatino Linotype"/>
                <w:bCs/>
                <w:sz w:val="14"/>
                <w:szCs w:val="14"/>
              </w:rPr>
              <w:t>Humaidan, I. O., Sulaiman, A. I</w:t>
            </w:r>
            <w:r w:rsidR="00D64192" w:rsidRPr="00D64192">
              <w:rPr>
                <w:rFonts w:ascii="Palatino Linotype" w:eastAsia="Palatino Linotype" w:hAnsi="Palatino Linotype" w:cs="Palatino Linotype"/>
                <w:bCs/>
                <w:sz w:val="14"/>
                <w:szCs w:val="14"/>
              </w:rPr>
              <w:t xml:space="preserve">. </w:t>
            </w:r>
            <w:r w:rsidR="005C7E61">
              <w:t xml:space="preserve"> </w:t>
            </w:r>
            <w:r w:rsidR="008F3885">
              <w:t xml:space="preserve"> </w:t>
            </w:r>
            <w:r w:rsidR="008F3885" w:rsidRPr="008F3885">
              <w:rPr>
                <w:rFonts w:ascii="Palatino Linotype" w:eastAsia="Palatino Linotype" w:hAnsi="Palatino Linotype" w:cs="Palatino Linotype"/>
                <w:bCs/>
                <w:sz w:val="14"/>
                <w:szCs w:val="14"/>
              </w:rPr>
              <w:t>Isolation and Identification of Enterococcus faecalis and Enterococcus lactis from Human Clinical Specimens</w:t>
            </w:r>
            <w:r w:rsidRPr="005D4A7F">
              <w:rPr>
                <w:rFonts w:ascii="Palatino Linotype" w:eastAsia="Palatino Linotype" w:hAnsi="Palatino Linotype" w:cs="Palatino Linotype"/>
                <w:sz w:val="14"/>
                <w:szCs w:val="14"/>
              </w:rPr>
              <w:t xml:space="preserve">.  </w:t>
            </w:r>
            <w:r w:rsidRPr="005D4A7F">
              <w:rPr>
                <w:rFonts w:ascii="Palatino Linotype" w:eastAsia="Palatino Linotype" w:hAnsi="Palatino Linotype" w:cs="Palatino Linotype"/>
              </w:rPr>
              <w:t xml:space="preserve"> </w:t>
            </w:r>
            <w:r w:rsidRPr="005D4A7F">
              <w:rPr>
                <w:rFonts w:ascii="Palatino Linotype" w:eastAsia="Palatino Linotype" w:hAnsi="Palatino Linotype" w:cs="Palatino Linotype"/>
                <w:sz w:val="14"/>
                <w:szCs w:val="14"/>
              </w:rPr>
              <w:t>American Journal of Biology and Natural Sciences 202</w:t>
            </w:r>
            <w:r w:rsidR="005D4A7F" w:rsidRPr="005D4A7F">
              <w:rPr>
                <w:rFonts w:ascii="Palatino Linotype" w:eastAsia="Palatino Linotype" w:hAnsi="Palatino Linotype" w:cs="Palatino Linotype"/>
                <w:sz w:val="14"/>
                <w:szCs w:val="14"/>
              </w:rPr>
              <w:t>6</w:t>
            </w:r>
            <w:r w:rsidRPr="005D4A7F">
              <w:rPr>
                <w:rFonts w:ascii="Palatino Linotype" w:eastAsia="Palatino Linotype" w:hAnsi="Palatino Linotype" w:cs="Palatino Linotype"/>
                <w:sz w:val="14"/>
                <w:szCs w:val="14"/>
              </w:rPr>
              <w:t xml:space="preserve">, </w:t>
            </w:r>
            <w:r w:rsidR="005D4A7F" w:rsidRPr="005D4A7F">
              <w:rPr>
                <w:rFonts w:ascii="Palatino Linotype" w:eastAsia="Palatino Linotype" w:hAnsi="Palatino Linotype" w:cs="Palatino Linotype"/>
                <w:sz w:val="14"/>
                <w:szCs w:val="14"/>
              </w:rPr>
              <w:t>3</w:t>
            </w:r>
            <w:r w:rsidRPr="005D4A7F">
              <w:rPr>
                <w:rFonts w:ascii="Palatino Linotype" w:eastAsia="Palatino Linotype" w:hAnsi="Palatino Linotype" w:cs="Palatino Linotype"/>
                <w:sz w:val="14"/>
                <w:szCs w:val="14"/>
              </w:rPr>
              <w:t>(</w:t>
            </w:r>
            <w:r w:rsidR="0072020F">
              <w:rPr>
                <w:rFonts w:ascii="Palatino Linotype" w:eastAsia="Palatino Linotype" w:hAnsi="Palatino Linotype" w:cs="Palatino Linotype"/>
                <w:sz w:val="14"/>
                <w:szCs w:val="14"/>
              </w:rPr>
              <w:t>7</w:t>
            </w:r>
            <w:r w:rsidRPr="005D4A7F">
              <w:rPr>
                <w:rFonts w:ascii="Palatino Linotype" w:eastAsia="Palatino Linotype" w:hAnsi="Palatino Linotype" w:cs="Palatino Linotype"/>
                <w:sz w:val="14"/>
                <w:szCs w:val="14"/>
              </w:rPr>
              <w:t xml:space="preserve">), </w:t>
            </w:r>
            <w:r w:rsidR="00E556FF">
              <w:rPr>
                <w:rFonts w:ascii="Palatino Linotype" w:eastAsia="Palatino Linotype" w:hAnsi="Palatino Linotype" w:cs="Palatino Linotype"/>
                <w:sz w:val="14"/>
                <w:szCs w:val="14"/>
              </w:rPr>
              <w:t>92-9</w:t>
            </w:r>
            <w:r w:rsidR="00587482">
              <w:rPr>
                <w:rFonts w:ascii="Palatino Linotype" w:eastAsia="Palatino Linotype" w:hAnsi="Palatino Linotype" w:cs="Palatino Linotype"/>
                <w:sz w:val="14"/>
                <w:szCs w:val="14"/>
              </w:rPr>
              <w:t>9</w:t>
            </w:r>
            <w:r w:rsidRPr="005D4A7F">
              <w:rPr>
                <w:rFonts w:ascii="Palatino Linotype" w:eastAsia="Palatino Linotype" w:hAnsi="Palatino Linotype" w:cs="Palatino Linotype"/>
                <w:sz w:val="14"/>
                <w:szCs w:val="14"/>
              </w:rPr>
              <w:t>.</w:t>
            </w:r>
          </w:p>
          <w:p w14:paraId="467ECE4F" w14:textId="608247DE" w:rsidR="00441E12" w:rsidRPr="005D4A7F" w:rsidRDefault="00441E12" w:rsidP="00D64192">
            <w:pPr>
              <w:spacing w:line="240" w:lineRule="auto"/>
              <w:ind w:left="-113" w:right="113"/>
              <w:jc w:val="both"/>
              <w:rPr>
                <w:rFonts w:ascii="Palatino Linotype" w:eastAsia="Palatino Linotype" w:hAnsi="Palatino Linotype" w:cs="Palatino Linotype"/>
                <w:sz w:val="14"/>
                <w:szCs w:val="14"/>
              </w:rPr>
            </w:pPr>
            <w:r w:rsidRPr="005D4A7F">
              <w:rPr>
                <w:rFonts w:ascii="Palatino Linotype" w:eastAsia="Palatino Linotype" w:hAnsi="Palatino Linotype" w:cs="Palatino Linotype"/>
                <w:sz w:val="14"/>
                <w:szCs w:val="14"/>
              </w:rPr>
              <w:t xml:space="preserve">Received: </w:t>
            </w:r>
            <w:r w:rsidR="0034449A">
              <w:rPr>
                <w:rFonts w:ascii="Palatino Linotype" w:eastAsia="Palatino Linotype" w:hAnsi="Palatino Linotype" w:cs="Palatino Linotype"/>
                <w:sz w:val="14"/>
                <w:szCs w:val="14"/>
              </w:rPr>
              <w:t>05</w:t>
            </w:r>
            <w:r w:rsidRPr="005D4A7F">
              <w:rPr>
                <w:rFonts w:ascii="Palatino Linotype" w:eastAsia="Palatino Linotype" w:hAnsi="Palatino Linotype" w:cs="Palatino Linotype"/>
                <w:sz w:val="14"/>
                <w:szCs w:val="14"/>
                <w:vertAlign w:val="superscript"/>
              </w:rPr>
              <w:t>th</w:t>
            </w:r>
            <w:r w:rsidRPr="005D4A7F">
              <w:rPr>
                <w:rFonts w:ascii="Palatino Linotype" w:eastAsia="Palatino Linotype" w:hAnsi="Palatino Linotype" w:cs="Palatino Linotype"/>
                <w:sz w:val="14"/>
                <w:szCs w:val="14"/>
              </w:rPr>
              <w:t xml:space="preserve"> </w:t>
            </w:r>
            <w:r w:rsidR="0034449A">
              <w:rPr>
                <w:rFonts w:ascii="Palatino Linotype" w:eastAsia="Palatino Linotype" w:hAnsi="Palatino Linotype" w:cs="Palatino Linotype"/>
                <w:sz w:val="14"/>
                <w:szCs w:val="14"/>
              </w:rPr>
              <w:t>May</w:t>
            </w:r>
            <w:r w:rsidRPr="005D4A7F">
              <w:rPr>
                <w:rFonts w:ascii="Palatino Linotype" w:eastAsia="Palatino Linotype" w:hAnsi="Palatino Linotype" w:cs="Palatino Linotype"/>
                <w:sz w:val="14"/>
                <w:szCs w:val="14"/>
              </w:rPr>
              <w:t xml:space="preserve"> 202</w:t>
            </w:r>
            <w:r w:rsidR="00634980" w:rsidRPr="005D4A7F">
              <w:rPr>
                <w:rFonts w:ascii="Palatino Linotype" w:eastAsia="Palatino Linotype" w:hAnsi="Palatino Linotype" w:cs="Palatino Linotype"/>
                <w:sz w:val="14"/>
                <w:szCs w:val="14"/>
              </w:rPr>
              <w:t>6</w:t>
            </w:r>
            <w:r w:rsidRPr="005D4A7F">
              <w:rPr>
                <w:rFonts w:ascii="Palatino Linotype" w:eastAsia="Palatino Linotype" w:hAnsi="Palatino Linotype" w:cs="Palatino Linotype"/>
                <w:sz w:val="14"/>
                <w:szCs w:val="14"/>
              </w:rPr>
              <w:t xml:space="preserve"> </w:t>
            </w:r>
          </w:p>
          <w:p w14:paraId="09BD9800" w14:textId="31DF9901" w:rsidR="00441E12" w:rsidRPr="005D4A7F" w:rsidRDefault="00441E12" w:rsidP="00D64192">
            <w:pPr>
              <w:spacing w:line="240" w:lineRule="auto"/>
              <w:ind w:left="-113" w:right="113"/>
              <w:jc w:val="both"/>
              <w:rPr>
                <w:rFonts w:ascii="Palatino Linotype" w:eastAsia="Palatino Linotype" w:hAnsi="Palatino Linotype" w:cs="Palatino Linotype"/>
                <w:sz w:val="14"/>
                <w:szCs w:val="14"/>
              </w:rPr>
            </w:pPr>
            <w:r w:rsidRPr="005D4A7F">
              <w:rPr>
                <w:rFonts w:ascii="Palatino Linotype" w:eastAsia="Palatino Linotype" w:hAnsi="Palatino Linotype" w:cs="Palatino Linotype"/>
                <w:sz w:val="14"/>
                <w:szCs w:val="14"/>
              </w:rPr>
              <w:t xml:space="preserve">Revised: </w:t>
            </w:r>
            <w:r w:rsidR="0034449A">
              <w:rPr>
                <w:rFonts w:ascii="Palatino Linotype" w:eastAsia="Palatino Linotype" w:hAnsi="Palatino Linotype" w:cs="Palatino Linotype"/>
                <w:sz w:val="14"/>
                <w:szCs w:val="14"/>
              </w:rPr>
              <w:t>25</w:t>
            </w:r>
            <w:r w:rsidRPr="005D4A7F">
              <w:rPr>
                <w:rFonts w:ascii="Palatino Linotype" w:eastAsia="Palatino Linotype" w:hAnsi="Palatino Linotype" w:cs="Palatino Linotype"/>
                <w:sz w:val="14"/>
                <w:szCs w:val="14"/>
                <w:vertAlign w:val="superscript"/>
              </w:rPr>
              <w:t>th</w:t>
            </w:r>
            <w:r w:rsidRPr="005D4A7F">
              <w:rPr>
                <w:rFonts w:ascii="Palatino Linotype" w:eastAsia="Palatino Linotype" w:hAnsi="Palatino Linotype" w:cs="Palatino Linotype"/>
                <w:sz w:val="14"/>
                <w:szCs w:val="14"/>
              </w:rPr>
              <w:t xml:space="preserve"> </w:t>
            </w:r>
            <w:r w:rsidR="005D4A7F" w:rsidRPr="005D4A7F">
              <w:rPr>
                <w:rFonts w:ascii="Palatino Linotype" w:eastAsia="Palatino Linotype" w:hAnsi="Palatino Linotype" w:cs="Palatino Linotype"/>
                <w:sz w:val="14"/>
                <w:szCs w:val="14"/>
              </w:rPr>
              <w:t>May</w:t>
            </w:r>
            <w:r w:rsidRPr="005D4A7F">
              <w:rPr>
                <w:rFonts w:ascii="Palatino Linotype" w:eastAsia="Palatino Linotype" w:hAnsi="Palatino Linotype" w:cs="Palatino Linotype"/>
                <w:sz w:val="14"/>
                <w:szCs w:val="14"/>
              </w:rPr>
              <w:t xml:space="preserve"> 202</w:t>
            </w:r>
            <w:r w:rsidR="00634980" w:rsidRPr="005D4A7F">
              <w:rPr>
                <w:rFonts w:ascii="Palatino Linotype" w:eastAsia="Palatino Linotype" w:hAnsi="Palatino Linotype" w:cs="Palatino Linotype"/>
                <w:sz w:val="14"/>
                <w:szCs w:val="14"/>
              </w:rPr>
              <w:t>6</w:t>
            </w:r>
            <w:r w:rsidRPr="005D4A7F">
              <w:rPr>
                <w:rFonts w:ascii="Palatino Linotype" w:eastAsia="Palatino Linotype" w:hAnsi="Palatino Linotype" w:cs="Palatino Linotype"/>
                <w:sz w:val="14"/>
                <w:szCs w:val="14"/>
              </w:rPr>
              <w:t xml:space="preserve"> </w:t>
            </w:r>
          </w:p>
          <w:p w14:paraId="497CEFAC" w14:textId="581AF783" w:rsidR="00441E12" w:rsidRPr="005D4A7F" w:rsidRDefault="00441E12" w:rsidP="00D64192">
            <w:pPr>
              <w:spacing w:line="240" w:lineRule="auto"/>
              <w:ind w:left="-113" w:right="113"/>
              <w:jc w:val="both"/>
              <w:rPr>
                <w:rFonts w:ascii="Palatino Linotype" w:eastAsia="Palatino Linotype" w:hAnsi="Palatino Linotype" w:cs="Palatino Linotype"/>
                <w:sz w:val="14"/>
                <w:szCs w:val="14"/>
              </w:rPr>
            </w:pPr>
            <w:r w:rsidRPr="005D4A7F">
              <w:rPr>
                <w:rFonts w:ascii="Palatino Linotype" w:eastAsia="Palatino Linotype" w:hAnsi="Palatino Linotype" w:cs="Palatino Linotype"/>
                <w:sz w:val="14"/>
                <w:szCs w:val="14"/>
              </w:rPr>
              <w:t xml:space="preserve">Accepted: </w:t>
            </w:r>
            <w:r w:rsidR="0034449A">
              <w:rPr>
                <w:rFonts w:ascii="Palatino Linotype" w:eastAsia="Palatino Linotype" w:hAnsi="Palatino Linotype" w:cs="Palatino Linotype"/>
                <w:sz w:val="14"/>
                <w:szCs w:val="14"/>
              </w:rPr>
              <w:t>30</w:t>
            </w:r>
            <w:r w:rsidRPr="005D4A7F">
              <w:rPr>
                <w:rFonts w:ascii="Palatino Linotype" w:eastAsia="Palatino Linotype" w:hAnsi="Palatino Linotype" w:cs="Palatino Linotype"/>
                <w:sz w:val="14"/>
                <w:szCs w:val="14"/>
                <w:vertAlign w:val="superscript"/>
              </w:rPr>
              <w:t>th</w:t>
            </w:r>
            <w:r w:rsidRPr="005D4A7F">
              <w:rPr>
                <w:rFonts w:ascii="Palatino Linotype" w:eastAsia="Palatino Linotype" w:hAnsi="Palatino Linotype" w:cs="Palatino Linotype"/>
                <w:sz w:val="14"/>
                <w:szCs w:val="14"/>
              </w:rPr>
              <w:t xml:space="preserve"> </w:t>
            </w:r>
            <w:r w:rsidR="00086593">
              <w:rPr>
                <w:rFonts w:ascii="Palatino Linotype" w:eastAsia="Palatino Linotype" w:hAnsi="Palatino Linotype" w:cs="Palatino Linotype"/>
                <w:sz w:val="14"/>
                <w:szCs w:val="14"/>
              </w:rPr>
              <w:t>Jun</w:t>
            </w:r>
            <w:r w:rsidRPr="005D4A7F">
              <w:rPr>
                <w:rFonts w:ascii="Palatino Linotype" w:eastAsia="Palatino Linotype" w:hAnsi="Palatino Linotype" w:cs="Palatino Linotype"/>
                <w:sz w:val="14"/>
                <w:szCs w:val="14"/>
              </w:rPr>
              <w:t xml:space="preserve"> 202</w:t>
            </w:r>
            <w:r w:rsidR="00634980" w:rsidRPr="005D4A7F">
              <w:rPr>
                <w:rFonts w:ascii="Palatino Linotype" w:eastAsia="Palatino Linotype" w:hAnsi="Palatino Linotype" w:cs="Palatino Linotype"/>
                <w:sz w:val="14"/>
                <w:szCs w:val="14"/>
              </w:rPr>
              <w:t>6</w:t>
            </w:r>
          </w:p>
          <w:p w14:paraId="590371C0" w14:textId="3910A9AF" w:rsidR="00441E12" w:rsidRPr="005D4A7F" w:rsidRDefault="00441E12" w:rsidP="00D64192">
            <w:pPr>
              <w:spacing w:line="240" w:lineRule="auto"/>
              <w:ind w:left="-113" w:right="113"/>
              <w:jc w:val="both"/>
              <w:rPr>
                <w:rFonts w:ascii="Palatino Linotype" w:eastAsia="Palatino Linotype" w:hAnsi="Palatino Linotype" w:cs="Palatino Linotype"/>
                <w:sz w:val="14"/>
                <w:szCs w:val="14"/>
              </w:rPr>
            </w:pPr>
            <w:r w:rsidRPr="005D4A7F">
              <w:rPr>
                <w:rFonts w:ascii="Palatino Linotype" w:eastAsia="Palatino Linotype" w:hAnsi="Palatino Linotype" w:cs="Palatino Linotype"/>
                <w:sz w:val="14"/>
                <w:szCs w:val="14"/>
              </w:rPr>
              <w:t xml:space="preserve">Published: </w:t>
            </w:r>
            <w:r w:rsidR="0034449A">
              <w:rPr>
                <w:rFonts w:ascii="Palatino Linotype" w:eastAsia="Palatino Linotype" w:hAnsi="Palatino Linotype" w:cs="Palatino Linotype"/>
                <w:sz w:val="14"/>
                <w:szCs w:val="14"/>
              </w:rPr>
              <w:t>20</w:t>
            </w:r>
            <w:r w:rsidRPr="005D4A7F">
              <w:rPr>
                <w:rFonts w:ascii="Palatino Linotype" w:eastAsia="Palatino Linotype" w:hAnsi="Palatino Linotype" w:cs="Palatino Linotype"/>
                <w:sz w:val="14"/>
                <w:szCs w:val="14"/>
                <w:vertAlign w:val="superscript"/>
              </w:rPr>
              <w:t>th</w:t>
            </w:r>
            <w:r w:rsidRPr="005D4A7F">
              <w:rPr>
                <w:rFonts w:ascii="Palatino Linotype" w:eastAsia="Palatino Linotype" w:hAnsi="Palatino Linotype" w:cs="Palatino Linotype"/>
                <w:sz w:val="14"/>
                <w:szCs w:val="14"/>
              </w:rPr>
              <w:t xml:space="preserve"> </w:t>
            </w:r>
            <w:r w:rsidR="00086593">
              <w:rPr>
                <w:rFonts w:ascii="Palatino Linotype" w:eastAsia="Palatino Linotype" w:hAnsi="Palatino Linotype" w:cs="Palatino Linotype"/>
                <w:sz w:val="14"/>
                <w:szCs w:val="14"/>
              </w:rPr>
              <w:t>Jul</w:t>
            </w:r>
            <w:r w:rsidRPr="005D4A7F">
              <w:rPr>
                <w:rFonts w:ascii="Palatino Linotype" w:eastAsia="Palatino Linotype" w:hAnsi="Palatino Linotype" w:cs="Palatino Linotype"/>
                <w:sz w:val="14"/>
                <w:szCs w:val="14"/>
              </w:rPr>
              <w:t xml:space="preserve"> 202</w:t>
            </w:r>
            <w:r w:rsidR="00634980" w:rsidRPr="005D4A7F">
              <w:rPr>
                <w:rFonts w:ascii="Palatino Linotype" w:eastAsia="Palatino Linotype" w:hAnsi="Palatino Linotype" w:cs="Palatino Linotype"/>
                <w:sz w:val="14"/>
                <w:szCs w:val="14"/>
              </w:rPr>
              <w:t>6</w:t>
            </w:r>
          </w:p>
          <w:p w14:paraId="742FAB8A" w14:textId="77777777" w:rsidR="00441E12" w:rsidRPr="005D4A7F" w:rsidRDefault="00441E12" w:rsidP="00D64192">
            <w:pPr>
              <w:spacing w:before="120" w:line="240" w:lineRule="auto"/>
              <w:ind w:left="-113" w:right="113"/>
              <w:jc w:val="both"/>
              <w:rPr>
                <w:rFonts w:ascii="Palatino Linotype" w:eastAsia="Palatino Linotype" w:hAnsi="Palatino Linotype" w:cs="Palatino Linotype"/>
                <w:sz w:val="14"/>
                <w:szCs w:val="14"/>
              </w:rPr>
            </w:pPr>
            <w:r w:rsidRPr="005D4A7F">
              <w:drawing>
                <wp:inline distT="0" distB="0" distL="0" distR="0" wp14:anchorId="003A2FB7" wp14:editId="53452FF5">
                  <wp:extent cx="692785" cy="249555"/>
                  <wp:effectExtent l="0" t="0" r="0" b="0"/>
                  <wp:docPr id="20993989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92785" cy="249555"/>
                          </a:xfrm>
                          <a:prstGeom prst="rect">
                            <a:avLst/>
                          </a:prstGeom>
                          <a:ln/>
                        </pic:spPr>
                      </pic:pic>
                    </a:graphicData>
                  </a:graphic>
                </wp:inline>
              </w:drawing>
            </w:r>
          </w:p>
          <w:p w14:paraId="63D4B056" w14:textId="0CEDF723" w:rsidR="00441E12" w:rsidRPr="005D4A7F" w:rsidRDefault="00441E12" w:rsidP="00D64192">
            <w:pPr>
              <w:widowControl/>
              <w:pBdr>
                <w:top w:val="nil"/>
                <w:left w:val="nil"/>
                <w:bottom w:val="nil"/>
                <w:right w:val="nil"/>
                <w:between w:val="nil"/>
              </w:pBdr>
              <w:spacing w:before="60" w:line="240" w:lineRule="auto"/>
              <w:ind w:left="-113" w:right="113"/>
              <w:jc w:val="both"/>
              <w:rPr>
                <w:rFonts w:ascii="Palatino Linotype" w:eastAsia="Palatino Linotype" w:hAnsi="Palatino Linotype" w:cs="Palatino Linotype"/>
                <w:sz w:val="14"/>
                <w:szCs w:val="14"/>
              </w:rPr>
            </w:pPr>
            <w:r w:rsidRPr="005D4A7F">
              <w:rPr>
                <w:rFonts w:ascii="Palatino Linotype" w:eastAsia="Palatino Linotype" w:hAnsi="Palatino Linotype" w:cs="Palatino Linotype"/>
                <w:b/>
                <w:sz w:val="14"/>
                <w:szCs w:val="14"/>
              </w:rPr>
              <w:t>Copyright:</w:t>
            </w:r>
            <w:r w:rsidRPr="005D4A7F">
              <w:rPr>
                <w:rFonts w:ascii="Palatino Linotype" w:eastAsia="Palatino Linotype" w:hAnsi="Palatino Linotype" w:cs="Palatino Linotype"/>
                <w:sz w:val="14"/>
                <w:szCs w:val="14"/>
              </w:rPr>
              <w:t xml:space="preserve"> © 202</w:t>
            </w:r>
            <w:r w:rsidR="00634980" w:rsidRPr="005D4A7F">
              <w:rPr>
                <w:rFonts w:ascii="Palatino Linotype" w:eastAsia="Palatino Linotype" w:hAnsi="Palatino Linotype" w:cs="Palatino Linotype"/>
                <w:sz w:val="14"/>
                <w:szCs w:val="14"/>
              </w:rPr>
              <w:t>6</w:t>
            </w:r>
            <w:r w:rsidRPr="005D4A7F">
              <w:rPr>
                <w:rFonts w:ascii="Palatino Linotype" w:eastAsia="Palatino Linotype" w:hAnsi="Palatino Linotype" w:cs="Palatino Linotype"/>
                <w:sz w:val="14"/>
                <w:szCs w:val="14"/>
              </w:rPr>
              <w:t xml:space="preserve"> by the authors. Submitted for open access publication under the terms and conditions of the Creative Commons Attribution (CC BY) license (https://creativecommons.org/licenses/by/4.0/)</w:t>
            </w:r>
          </w:p>
        </w:tc>
      </w:tr>
    </w:tbl>
    <w:p w14:paraId="69800324" w14:textId="649E2196" w:rsidR="009D080D" w:rsidRPr="005D4A7F" w:rsidRDefault="007C5BBA" w:rsidP="008F3885">
      <w:pPr>
        <w:tabs>
          <w:tab w:val="left" w:pos="2977"/>
        </w:tabs>
        <w:spacing w:before="240" w:after="480" w:line="240" w:lineRule="auto"/>
        <w:ind w:left="2977"/>
        <w:rPr>
          <w:sz w:val="18"/>
          <w:szCs w:val="18"/>
        </w:rPr>
      </w:pPr>
      <w:r w:rsidRPr="005D4A7F">
        <w:rPr>
          <w:b/>
          <w:sz w:val="18"/>
          <w:szCs w:val="18"/>
        </w:rPr>
        <w:t xml:space="preserve">Abstract: </w:t>
      </w:r>
      <w:r w:rsidR="008F3885" w:rsidRPr="008F3885">
        <w:rPr>
          <w:i/>
          <w:iCs/>
          <w:sz w:val="18"/>
          <w:szCs w:val="18"/>
        </w:rPr>
        <w:t>E. faecalis</w:t>
      </w:r>
      <w:r w:rsidR="008F3885" w:rsidRPr="008F3885">
        <w:rPr>
          <w:sz w:val="18"/>
          <w:szCs w:val="18"/>
        </w:rPr>
        <w:t xml:space="preserve"> and </w:t>
      </w:r>
      <w:r w:rsidR="008F3885" w:rsidRPr="008F3885">
        <w:rPr>
          <w:i/>
          <w:iCs/>
          <w:sz w:val="18"/>
          <w:szCs w:val="18"/>
        </w:rPr>
        <w:t>E. lactis</w:t>
      </w:r>
      <w:r w:rsidR="008F3885" w:rsidRPr="008F3885">
        <w:rPr>
          <w:sz w:val="18"/>
          <w:szCs w:val="18"/>
        </w:rPr>
        <w:t xml:space="preserve"> are opportunistic Gram-positive pathogens associated with soft tissue infections and are characterized by multidrug resistance and virulence potential. The aim of this study was to evaluate antimicrobial resistance patterns and to detect selected virulence genes in </w:t>
      </w:r>
      <w:r w:rsidR="008F3885" w:rsidRPr="008F3885">
        <w:rPr>
          <w:i/>
          <w:iCs/>
          <w:sz w:val="18"/>
          <w:szCs w:val="18"/>
        </w:rPr>
        <w:t>E. faecalis</w:t>
      </w:r>
      <w:r w:rsidR="008F3885" w:rsidRPr="008F3885">
        <w:rPr>
          <w:sz w:val="18"/>
          <w:szCs w:val="18"/>
        </w:rPr>
        <w:t xml:space="preserve"> and </w:t>
      </w:r>
      <w:r w:rsidR="008F3885" w:rsidRPr="008F3885">
        <w:rPr>
          <w:i/>
          <w:iCs/>
          <w:sz w:val="18"/>
          <w:szCs w:val="18"/>
        </w:rPr>
        <w:t>E. lactis</w:t>
      </w:r>
      <w:r w:rsidR="008F3885" w:rsidRPr="008F3885">
        <w:rPr>
          <w:sz w:val="18"/>
          <w:szCs w:val="18"/>
        </w:rPr>
        <w:t xml:space="preserve"> isolated from soft tissue infections. Two hundred and ten clinical specimens (biopsies, aspirates, and swabs) were collected and cultured on MacConkey, blood, chocolate, and brain heart infusion agars under aerobic and anaerobic conditions. Identification was performed by conventional methods, the VITEK2 system, 16S rRNA gene sequencing, and PCR detection of </w:t>
      </w:r>
      <w:r w:rsidR="008F3885" w:rsidRPr="008F3885">
        <w:rPr>
          <w:i/>
          <w:iCs/>
          <w:sz w:val="18"/>
          <w:szCs w:val="18"/>
        </w:rPr>
        <w:t>agg</w:t>
      </w:r>
      <w:r w:rsidR="008F3885" w:rsidRPr="008F3885">
        <w:rPr>
          <w:sz w:val="18"/>
          <w:szCs w:val="18"/>
        </w:rPr>
        <w:t xml:space="preserve">, </w:t>
      </w:r>
      <w:r w:rsidR="008F3885" w:rsidRPr="008F3885">
        <w:rPr>
          <w:i/>
          <w:iCs/>
          <w:sz w:val="18"/>
          <w:szCs w:val="18"/>
        </w:rPr>
        <w:t>esp</w:t>
      </w:r>
      <w:r w:rsidR="008F3885" w:rsidRPr="008F3885">
        <w:rPr>
          <w:sz w:val="18"/>
          <w:szCs w:val="18"/>
        </w:rPr>
        <w:t xml:space="preserve">, and </w:t>
      </w:r>
      <w:r w:rsidR="008F3885" w:rsidRPr="008F3885">
        <w:rPr>
          <w:i/>
          <w:iCs/>
          <w:sz w:val="18"/>
          <w:szCs w:val="18"/>
        </w:rPr>
        <w:t>ace</w:t>
      </w:r>
      <w:r w:rsidR="008F3885" w:rsidRPr="008F3885">
        <w:rPr>
          <w:sz w:val="18"/>
          <w:szCs w:val="18"/>
        </w:rPr>
        <w:t xml:space="preserve"> genes. A total of 98 bacterial isolates were collected. VITEK2 identified two isolates as </w:t>
      </w:r>
      <w:r w:rsidR="008F3885" w:rsidRPr="008F3885">
        <w:rPr>
          <w:i/>
          <w:iCs/>
          <w:sz w:val="18"/>
          <w:szCs w:val="18"/>
        </w:rPr>
        <w:t>E. faecalis</w:t>
      </w:r>
      <w:r w:rsidR="008F3885" w:rsidRPr="008F3885">
        <w:rPr>
          <w:sz w:val="18"/>
          <w:szCs w:val="18"/>
        </w:rPr>
        <w:t xml:space="preserve"> and two isolates as </w:t>
      </w:r>
      <w:r w:rsidR="008F3885" w:rsidRPr="008F3885">
        <w:rPr>
          <w:i/>
          <w:iCs/>
          <w:sz w:val="18"/>
          <w:szCs w:val="18"/>
        </w:rPr>
        <w:t>E. lactis</w:t>
      </w:r>
      <w:r w:rsidR="008F3885" w:rsidRPr="008F3885">
        <w:rPr>
          <w:sz w:val="18"/>
          <w:szCs w:val="18"/>
        </w:rPr>
        <w:t>, but 16S rRNA sequencing confirmed one strain per species. Genes (</w:t>
      </w:r>
      <w:r w:rsidR="008F3885" w:rsidRPr="008F3885">
        <w:rPr>
          <w:i/>
          <w:iCs/>
          <w:sz w:val="18"/>
          <w:szCs w:val="18"/>
        </w:rPr>
        <w:t>agg</w:t>
      </w:r>
      <w:r w:rsidR="008F3885" w:rsidRPr="008F3885">
        <w:rPr>
          <w:sz w:val="18"/>
          <w:szCs w:val="18"/>
        </w:rPr>
        <w:t xml:space="preserve"> and </w:t>
      </w:r>
      <w:r w:rsidR="008F3885" w:rsidRPr="008F3885">
        <w:rPr>
          <w:i/>
          <w:iCs/>
          <w:sz w:val="18"/>
          <w:szCs w:val="18"/>
        </w:rPr>
        <w:t>esp</w:t>
      </w:r>
      <w:r w:rsidR="008F3885" w:rsidRPr="008F3885">
        <w:rPr>
          <w:sz w:val="18"/>
          <w:szCs w:val="18"/>
        </w:rPr>
        <w:t xml:space="preserve">) were present; </w:t>
      </w:r>
      <w:r w:rsidR="008F3885" w:rsidRPr="008F3885">
        <w:rPr>
          <w:i/>
          <w:iCs/>
          <w:sz w:val="18"/>
          <w:szCs w:val="18"/>
        </w:rPr>
        <w:t>ace</w:t>
      </w:r>
      <w:r w:rsidR="008F3885" w:rsidRPr="008F3885">
        <w:rPr>
          <w:sz w:val="18"/>
          <w:szCs w:val="18"/>
        </w:rPr>
        <w:t xml:space="preserve"> was absent. All isolates that were confirmed were resistant to the antibiotics tested. Soft tissue infections harbor multidrug-resistant </w:t>
      </w:r>
      <w:r w:rsidR="008F3885" w:rsidRPr="008F3885">
        <w:rPr>
          <w:i/>
          <w:iCs/>
          <w:sz w:val="18"/>
          <w:szCs w:val="18"/>
        </w:rPr>
        <w:t>E. faecalis</w:t>
      </w:r>
      <w:r w:rsidR="008F3885" w:rsidRPr="008F3885">
        <w:rPr>
          <w:sz w:val="18"/>
          <w:szCs w:val="18"/>
        </w:rPr>
        <w:t xml:space="preserve"> and </w:t>
      </w:r>
      <w:r w:rsidR="008F3885" w:rsidRPr="008F3885">
        <w:rPr>
          <w:i/>
          <w:iCs/>
          <w:sz w:val="18"/>
          <w:szCs w:val="18"/>
        </w:rPr>
        <w:t>E. lactis</w:t>
      </w:r>
      <w:r w:rsidR="008F3885" w:rsidRPr="008F3885">
        <w:rPr>
          <w:sz w:val="18"/>
          <w:szCs w:val="18"/>
        </w:rPr>
        <w:t xml:space="preserve"> possessing key virulence genes, underscoring their clinical importance and the need for continued surveillance and infection prevention</w:t>
      </w:r>
      <w:r w:rsidRPr="005D4A7F">
        <w:rPr>
          <w:sz w:val="18"/>
          <w:szCs w:val="18"/>
        </w:rPr>
        <w:t>.</w:t>
      </w:r>
    </w:p>
    <w:p w14:paraId="6F057516" w14:textId="2A969AF7" w:rsidR="009D080D" w:rsidRPr="005D4A7F" w:rsidRDefault="007C5BBA" w:rsidP="008F3885">
      <w:pPr>
        <w:spacing w:after="480" w:line="240" w:lineRule="auto"/>
        <w:ind w:left="2977"/>
        <w:rPr>
          <w:sz w:val="18"/>
          <w:szCs w:val="18"/>
        </w:rPr>
      </w:pPr>
      <w:r w:rsidRPr="005D4A7F">
        <w:rPr>
          <w:b/>
          <w:sz w:val="18"/>
          <w:szCs w:val="18"/>
        </w:rPr>
        <w:t xml:space="preserve">Keywords: </w:t>
      </w:r>
      <w:r w:rsidR="008F3885" w:rsidRPr="008F3885">
        <w:rPr>
          <w:i/>
          <w:iCs/>
          <w:sz w:val="18"/>
          <w:szCs w:val="18"/>
        </w:rPr>
        <w:t>Enterococcus faecalis</w:t>
      </w:r>
      <w:r w:rsidR="008F3885" w:rsidRPr="008F3885">
        <w:rPr>
          <w:sz w:val="18"/>
          <w:szCs w:val="18"/>
        </w:rPr>
        <w:t xml:space="preserve">, </w:t>
      </w:r>
      <w:r w:rsidR="008F3885" w:rsidRPr="008F3885">
        <w:rPr>
          <w:i/>
          <w:iCs/>
          <w:sz w:val="18"/>
          <w:szCs w:val="18"/>
        </w:rPr>
        <w:t>Enterococcus lactis</w:t>
      </w:r>
      <w:r w:rsidR="008F3885" w:rsidRPr="008F3885">
        <w:rPr>
          <w:sz w:val="18"/>
          <w:szCs w:val="18"/>
        </w:rPr>
        <w:t>, Soft Tissue Infections, Antimicrobial Resistance, Virulence Genes, 16S rRNA</w:t>
      </w:r>
    </w:p>
    <w:p w14:paraId="3F69B43E" w14:textId="77777777" w:rsidR="009D080D" w:rsidRPr="005D4A7F" w:rsidRDefault="007C5BBA">
      <w:pPr>
        <w:spacing w:line="240" w:lineRule="auto"/>
        <w:rPr>
          <w:sz w:val="18"/>
          <w:szCs w:val="18"/>
        </w:rPr>
      </w:pPr>
      <w:r w:rsidRPr="005D4A7F">
        <w:rPr>
          <w:b/>
        </w:rPr>
        <w:t>Introduction</w:t>
      </w:r>
    </w:p>
    <w:p w14:paraId="43D9B4F9" w14:textId="77777777" w:rsidR="008F3885" w:rsidRPr="008F3885" w:rsidRDefault="008F3885" w:rsidP="008F3885">
      <w:pPr>
        <w:pBdr>
          <w:top w:val="nil"/>
          <w:left w:val="nil"/>
          <w:bottom w:val="nil"/>
          <w:right w:val="nil"/>
          <w:between w:val="nil"/>
        </w:pBdr>
        <w:spacing w:line="276" w:lineRule="auto"/>
        <w:ind w:firstLine="567"/>
      </w:pPr>
      <w:r w:rsidRPr="008F3885">
        <w:t xml:space="preserve">Enterococci are Gram-positive bacteria identified in 1899 as natural inhabitants of the human intestinal microbiota. These organisms had been taxonomically classified for many decades in the genus </w:t>
      </w:r>
      <w:r w:rsidRPr="008F3885">
        <w:rPr>
          <w:i/>
          <w:iCs/>
        </w:rPr>
        <w:t>Streptococcus</w:t>
      </w:r>
      <w:r w:rsidRPr="008F3885">
        <w:t xml:space="preserve">, specifically as serogroup D streptococci. </w:t>
      </w:r>
      <w:r w:rsidRPr="008F3885">
        <w:rPr>
          <w:i/>
          <w:iCs/>
        </w:rPr>
        <w:t>Streptococcus faecalis</w:t>
      </w:r>
      <w:r w:rsidRPr="008F3885">
        <w:t xml:space="preserve"> is described in 1906 following its isolation from a clinical case of endocarditis. </w:t>
      </w:r>
      <w:r w:rsidRPr="008F3885">
        <w:rPr>
          <w:i/>
          <w:iCs/>
        </w:rPr>
        <w:t>Streptococcus lactis</w:t>
      </w:r>
      <w:r w:rsidRPr="008F3885">
        <w:t xml:space="preserve"> is described in 1919. Major taxonomic differences among serogroup D streptococci have been identified with the advent of biochemical characterization techniques and molecular approaches, including DNA–rRNA homology studies and 16S rRNA gene sequencing. Based on these findings, they were reclassified into a separate genus </w:t>
      </w:r>
      <w:r w:rsidRPr="008F3885">
        <w:rPr>
          <w:i/>
          <w:iCs/>
        </w:rPr>
        <w:t>Enterococcus</w:t>
      </w:r>
      <w:r w:rsidRPr="008F3885">
        <w:t xml:space="preserve">, in 1984. The genus currently includes more than 50 recognized species, including </w:t>
      </w:r>
      <w:r w:rsidRPr="008F3885">
        <w:rPr>
          <w:i/>
          <w:iCs/>
        </w:rPr>
        <w:t>Enterococcus faecalis</w:t>
      </w:r>
      <w:r w:rsidRPr="008F3885">
        <w:t xml:space="preserve"> and </w:t>
      </w:r>
      <w:r w:rsidRPr="008F3885">
        <w:rPr>
          <w:i/>
          <w:iCs/>
        </w:rPr>
        <w:t>Enterococcus lactis</w:t>
      </w:r>
      <w:r w:rsidRPr="008F3885">
        <w:t xml:space="preserve">, which are regarded as clinically important due to their </w:t>
      </w:r>
      <w:r w:rsidRPr="008F3885">
        <w:lastRenderedPageBreak/>
        <w:t>frequent association with human infections and their increasing importance in medical microbiology [1], [2].</w:t>
      </w:r>
    </w:p>
    <w:p w14:paraId="12008173" w14:textId="77777777" w:rsidR="008F3885" w:rsidRPr="008F3885" w:rsidRDefault="008F3885" w:rsidP="008F3885">
      <w:pPr>
        <w:pBdr>
          <w:top w:val="nil"/>
          <w:left w:val="nil"/>
          <w:bottom w:val="nil"/>
          <w:right w:val="nil"/>
          <w:between w:val="nil"/>
        </w:pBdr>
        <w:spacing w:line="276" w:lineRule="auto"/>
        <w:ind w:firstLine="567"/>
      </w:pPr>
      <w:r w:rsidRPr="008F3885">
        <w:rPr>
          <w:i/>
          <w:iCs/>
        </w:rPr>
        <w:t>E. faecalis</w:t>
      </w:r>
      <w:r w:rsidRPr="008F3885">
        <w:t xml:space="preserve"> and </w:t>
      </w:r>
      <w:r w:rsidRPr="008F3885">
        <w:rPr>
          <w:i/>
          <w:iCs/>
        </w:rPr>
        <w:t>E. lactis</w:t>
      </w:r>
      <w:r w:rsidRPr="008F3885">
        <w:t xml:space="preserve"> are clinically important opportunistic pathogens, particularly in hospitals. </w:t>
      </w:r>
      <w:r w:rsidRPr="008F3885">
        <w:rPr>
          <w:i/>
          <w:iCs/>
        </w:rPr>
        <w:t>E. faecalis</w:t>
      </w:r>
      <w:r w:rsidRPr="008F3885">
        <w:t xml:space="preserve"> is the principal cause of enterococcal infections, accounting for approximately 80% of human cases, and is most frequently implicated in urinary tract infections, wound infections, bacteremia, and endocarditis [3], [4], [5].</w:t>
      </w:r>
    </w:p>
    <w:p w14:paraId="3872D16D" w14:textId="77777777" w:rsidR="008F3885" w:rsidRPr="008F3885" w:rsidRDefault="008F3885" w:rsidP="008F3885">
      <w:pPr>
        <w:pBdr>
          <w:top w:val="nil"/>
          <w:left w:val="nil"/>
          <w:bottom w:val="nil"/>
          <w:right w:val="nil"/>
          <w:between w:val="nil"/>
        </w:pBdr>
        <w:spacing w:line="276" w:lineRule="auto"/>
        <w:ind w:firstLine="567"/>
      </w:pPr>
      <w:r w:rsidRPr="008F3885">
        <w:t xml:space="preserve">In contrast, </w:t>
      </w:r>
      <w:r w:rsidRPr="008F3885">
        <w:rPr>
          <w:i/>
          <w:iCs/>
        </w:rPr>
        <w:t>E. lactis</w:t>
      </w:r>
      <w:r w:rsidRPr="008F3885">
        <w:t xml:space="preserve"> is increasingly recognized for its capacity to adapt to healthcare environments, driven by resistance to antibiotics and environmental pressures. Genomic studies have identified two distinct clades, including hospital-adapted lineages closely linked to nosocomial outbreaks and opportunistic infections [2].</w:t>
      </w:r>
    </w:p>
    <w:p w14:paraId="27D9025D" w14:textId="77777777" w:rsidR="008F3885" w:rsidRPr="008F3885" w:rsidRDefault="008F3885" w:rsidP="008F3885">
      <w:pPr>
        <w:pBdr>
          <w:top w:val="nil"/>
          <w:left w:val="nil"/>
          <w:bottom w:val="nil"/>
          <w:right w:val="nil"/>
          <w:between w:val="nil"/>
        </w:pBdr>
        <w:spacing w:line="276" w:lineRule="auto"/>
        <w:ind w:firstLine="567"/>
      </w:pPr>
      <w:r w:rsidRPr="008F3885">
        <w:t>Due to the presence of virulence factors, antimicrobial resistance genes, and biofilm-forming ability, both species possess high pathogenic potential, which contributes to their persistence and clinical impact, and therefore pose a growing public health concern [6], [7], [8].</w:t>
      </w:r>
    </w:p>
    <w:p w14:paraId="4B3C735D" w14:textId="77777777" w:rsidR="008F3885" w:rsidRPr="008F3885" w:rsidRDefault="008F3885" w:rsidP="008F3885">
      <w:pPr>
        <w:pBdr>
          <w:top w:val="nil"/>
          <w:left w:val="nil"/>
          <w:bottom w:val="nil"/>
          <w:right w:val="nil"/>
          <w:between w:val="nil"/>
        </w:pBdr>
        <w:spacing w:line="276" w:lineRule="auto"/>
        <w:ind w:firstLine="567"/>
      </w:pPr>
      <w:r w:rsidRPr="008F3885">
        <w:rPr>
          <w:i/>
          <w:iCs/>
        </w:rPr>
        <w:t>agg</w:t>
      </w:r>
      <w:r w:rsidRPr="008F3885">
        <w:t xml:space="preserve"> is one of the genes encoding an important virulence factor, the aggregation substance (AS), a plasmid-encoded adhesin regulated by pheromone signaling. AS is conducive to intimate contact between donor and recipient bacterial cells so that plasmids can be transferred successfully. AS is on the surface of the donor cell, but there must be a complementary binding substance on the recipient cell, encoded chromosomally, for the interaction to be successful [3].</w:t>
      </w:r>
    </w:p>
    <w:p w14:paraId="69229EDC" w14:textId="77777777" w:rsidR="008F3885" w:rsidRPr="008F3885" w:rsidRDefault="008F3885" w:rsidP="008F3885">
      <w:pPr>
        <w:pBdr>
          <w:top w:val="nil"/>
          <w:left w:val="nil"/>
          <w:bottom w:val="nil"/>
          <w:right w:val="nil"/>
          <w:between w:val="nil"/>
        </w:pBdr>
        <w:spacing w:line="276" w:lineRule="auto"/>
        <w:ind w:firstLine="567"/>
      </w:pPr>
      <w:r w:rsidRPr="008F3885">
        <w:t xml:space="preserve">The </w:t>
      </w:r>
      <w:r w:rsidRPr="008F3885">
        <w:rPr>
          <w:i/>
          <w:iCs/>
        </w:rPr>
        <w:t>esp</w:t>
      </w:r>
      <w:r w:rsidRPr="008F3885">
        <w:t xml:space="preserve"> gene encodes the enterococcal surface protein (Esp), a protein that plays a role in bacterial adhesion to host and abiotic surfaces. The protein is involved in the formation of a biofilm that increases the persistence of bacteria in biopolymeric matrices [9].</w:t>
      </w:r>
    </w:p>
    <w:p w14:paraId="70354339" w14:textId="77777777" w:rsidR="008F3885" w:rsidRPr="008F3885" w:rsidRDefault="008F3885" w:rsidP="008F3885">
      <w:pPr>
        <w:pBdr>
          <w:top w:val="nil"/>
          <w:left w:val="nil"/>
          <w:bottom w:val="nil"/>
          <w:right w:val="nil"/>
          <w:between w:val="nil"/>
        </w:pBdr>
        <w:spacing w:line="276" w:lineRule="auto"/>
        <w:ind w:firstLine="567"/>
      </w:pPr>
      <w:r w:rsidRPr="008F3885">
        <w:rPr>
          <w:i/>
          <w:iCs/>
        </w:rPr>
        <w:t>ace</w:t>
      </w:r>
      <w:r w:rsidRPr="008F3885">
        <w:t xml:space="preserve"> is a virulence determinant of enterococci on their surface; the bacteria have a protein that helps them to adhere to several host components, including type IV collagen in the human body, type I bovine and rat collagen, murine laminin, and human dentin. In vivo, increased Ace expression has been demonstrated in the presence of serum and constituents of the extracellular matrix [10].</w:t>
      </w:r>
    </w:p>
    <w:p w14:paraId="4FECAD7F" w14:textId="77777777" w:rsidR="008F3885" w:rsidRDefault="008F3885" w:rsidP="008F3885">
      <w:pPr>
        <w:pBdr>
          <w:top w:val="nil"/>
          <w:left w:val="nil"/>
          <w:bottom w:val="nil"/>
          <w:right w:val="nil"/>
          <w:between w:val="nil"/>
        </w:pBdr>
        <w:spacing w:line="276" w:lineRule="auto"/>
        <w:rPr>
          <w:b/>
          <w:bCs/>
        </w:rPr>
      </w:pPr>
    </w:p>
    <w:p w14:paraId="4660D1BA" w14:textId="622210D5" w:rsidR="008F3885" w:rsidRPr="008F3885" w:rsidRDefault="008F3885" w:rsidP="008F3885">
      <w:pPr>
        <w:pBdr>
          <w:top w:val="nil"/>
          <w:left w:val="nil"/>
          <w:bottom w:val="nil"/>
          <w:right w:val="nil"/>
          <w:between w:val="nil"/>
        </w:pBdr>
        <w:spacing w:line="276" w:lineRule="auto"/>
      </w:pPr>
      <w:r w:rsidRPr="008F3885">
        <w:rPr>
          <w:b/>
          <w:bCs/>
        </w:rPr>
        <w:t>Materials and Methods</w:t>
      </w:r>
    </w:p>
    <w:p w14:paraId="0B5A9554" w14:textId="45C8B894" w:rsidR="008F3885" w:rsidRPr="008F3885" w:rsidRDefault="008F3885" w:rsidP="008F3885">
      <w:pPr>
        <w:pBdr>
          <w:top w:val="nil"/>
          <w:left w:val="nil"/>
          <w:bottom w:val="nil"/>
          <w:right w:val="nil"/>
          <w:between w:val="nil"/>
        </w:pBdr>
        <w:spacing w:line="276" w:lineRule="auto"/>
      </w:pPr>
      <w:r w:rsidRPr="008F3885">
        <w:rPr>
          <w:b/>
          <w:bCs/>
        </w:rPr>
        <w:t>Ethics Statement</w:t>
      </w:r>
    </w:p>
    <w:p w14:paraId="2D1F794E" w14:textId="77777777" w:rsidR="008F3885" w:rsidRPr="008F3885" w:rsidRDefault="008F3885" w:rsidP="008F3885">
      <w:pPr>
        <w:pBdr>
          <w:top w:val="nil"/>
          <w:left w:val="nil"/>
          <w:bottom w:val="nil"/>
          <w:right w:val="nil"/>
          <w:between w:val="nil"/>
        </w:pBdr>
        <w:spacing w:line="276" w:lineRule="auto"/>
        <w:ind w:firstLine="567"/>
      </w:pPr>
      <w:r w:rsidRPr="008F3885">
        <w:t>Ethical permission was granted to undertake this study by the Ministry of Health and Environment in Ninawa Health Department with approval number (272) on 1/10/2025.</w:t>
      </w:r>
    </w:p>
    <w:p w14:paraId="2B7D6B3F" w14:textId="405DDEA2" w:rsidR="008F3885" w:rsidRPr="008F3885" w:rsidRDefault="008F3885" w:rsidP="008F3885">
      <w:pPr>
        <w:pBdr>
          <w:top w:val="nil"/>
          <w:left w:val="nil"/>
          <w:bottom w:val="nil"/>
          <w:right w:val="nil"/>
          <w:between w:val="nil"/>
        </w:pBdr>
        <w:spacing w:line="276" w:lineRule="auto"/>
      </w:pPr>
      <w:r w:rsidRPr="008F3885">
        <w:rPr>
          <w:b/>
          <w:bCs/>
        </w:rPr>
        <w:t>Sample Collection</w:t>
      </w:r>
    </w:p>
    <w:p w14:paraId="0588156D" w14:textId="77777777" w:rsidR="008F3885" w:rsidRPr="008F3885" w:rsidRDefault="008F3885" w:rsidP="008F3885">
      <w:pPr>
        <w:pBdr>
          <w:top w:val="nil"/>
          <w:left w:val="nil"/>
          <w:bottom w:val="nil"/>
          <w:right w:val="nil"/>
          <w:between w:val="nil"/>
        </w:pBdr>
        <w:spacing w:line="276" w:lineRule="auto"/>
        <w:ind w:firstLine="567"/>
      </w:pPr>
      <w:r w:rsidRPr="008F3885">
        <w:t>Two hundred and ten samples from surgical biopsies, aspirates, and swabs from different clinical sources were received. Samples were collected from Al-Salam Teaching Hospital, Al-Jumhouri General Hospital, and Ibn Sina Hospital of Mosul City during the period from 1/10/2025 to 1/2/2026. Samples of the three categories of the specimens were divided into equal parts to make 70 biopsies, 70 aspirates, and 70 swabs. All the samples were cultured on MacConkey, blood agar, chocolate agar, and brain heart infusion agar. Biopsy samples and anaerobic aspirates were kept in an anaerobic jar in the incubator.</w:t>
      </w:r>
    </w:p>
    <w:p w14:paraId="50AA994A" w14:textId="6C32B0A9" w:rsidR="008F3885" w:rsidRPr="008F3885" w:rsidRDefault="008F3885" w:rsidP="008F3885">
      <w:pPr>
        <w:pBdr>
          <w:top w:val="nil"/>
          <w:left w:val="nil"/>
          <w:bottom w:val="nil"/>
          <w:right w:val="nil"/>
          <w:between w:val="nil"/>
        </w:pBdr>
        <w:spacing w:line="276" w:lineRule="auto"/>
      </w:pPr>
      <w:r w:rsidRPr="008F3885">
        <w:rPr>
          <w:b/>
          <w:bCs/>
        </w:rPr>
        <w:t>Diagnostic Tests</w:t>
      </w:r>
    </w:p>
    <w:p w14:paraId="3BC7898B" w14:textId="77777777" w:rsidR="008F3885" w:rsidRPr="008F3885" w:rsidRDefault="008F3885" w:rsidP="008F3885">
      <w:pPr>
        <w:pBdr>
          <w:top w:val="nil"/>
          <w:left w:val="nil"/>
          <w:bottom w:val="nil"/>
          <w:right w:val="nil"/>
          <w:between w:val="nil"/>
        </w:pBdr>
        <w:spacing w:line="276" w:lineRule="auto"/>
        <w:ind w:firstLine="567"/>
      </w:pPr>
      <w:r w:rsidRPr="008F3885">
        <w:t>The samples were incubated and then subjected to a series of morphological tests (Gram stain, catalase, oxidase, carbohydrate fermentation, morphology on different media). Identification of bacterial isolates was done by the VITEK2 automatic identification system on 24 hr old pure isolates. Colonies were reactive in sterile 0.45% sodium chloride solution, and turbidity was determined using a Densichek using the McFarland standard. Suspension was loaded into VITEK 2 cards with biochemical tests, and sample data were typed into the computer attached to it. The test included automated incubation, reading and interpretation to give a profile of the bacteria being tested.</w:t>
      </w:r>
    </w:p>
    <w:p w14:paraId="70F47548" w14:textId="6FB02BFE" w:rsidR="008F3885" w:rsidRPr="008F3885" w:rsidRDefault="008F3885" w:rsidP="008F3885">
      <w:pPr>
        <w:pBdr>
          <w:top w:val="nil"/>
          <w:left w:val="nil"/>
          <w:bottom w:val="nil"/>
          <w:right w:val="nil"/>
          <w:between w:val="nil"/>
        </w:pBdr>
        <w:spacing w:line="276" w:lineRule="auto"/>
      </w:pPr>
      <w:r w:rsidRPr="008F3885">
        <w:rPr>
          <w:b/>
          <w:bCs/>
        </w:rPr>
        <w:lastRenderedPageBreak/>
        <w:t>Antibiotic Sensitivity Test (AST)</w:t>
      </w:r>
    </w:p>
    <w:p w14:paraId="6D44388D" w14:textId="77777777" w:rsidR="008F3885" w:rsidRPr="008F3885" w:rsidRDefault="008F3885" w:rsidP="008F3885">
      <w:pPr>
        <w:pBdr>
          <w:top w:val="nil"/>
          <w:left w:val="nil"/>
          <w:bottom w:val="nil"/>
          <w:right w:val="nil"/>
          <w:between w:val="nil"/>
        </w:pBdr>
        <w:spacing w:line="276" w:lineRule="auto"/>
        <w:ind w:firstLine="567"/>
      </w:pPr>
      <w:r w:rsidRPr="008F3885">
        <w:t>Antimicrobial susceptibility testing of bacterial isolates obtained from soft tissue infections was performed using the VITEK 2 Compact system (Bio analyse, Turkey). Manual susceptibility testing was additionally carried out to confirm the results and to include antibiotics commonly used in clinical practice.</w:t>
      </w:r>
    </w:p>
    <w:p w14:paraId="6D3A5A8D" w14:textId="54949EFE" w:rsidR="008F3885" w:rsidRPr="008F3885" w:rsidRDefault="008F3885" w:rsidP="008F3885">
      <w:pPr>
        <w:pBdr>
          <w:top w:val="nil"/>
          <w:left w:val="nil"/>
          <w:bottom w:val="nil"/>
          <w:right w:val="nil"/>
          <w:between w:val="nil"/>
        </w:pBdr>
        <w:spacing w:line="276" w:lineRule="auto"/>
      </w:pPr>
      <w:r w:rsidRPr="008F3885">
        <w:rPr>
          <w:b/>
          <w:bCs/>
        </w:rPr>
        <w:t>Molecular Identification</w:t>
      </w:r>
    </w:p>
    <w:p w14:paraId="72B0D1A0" w14:textId="77777777" w:rsidR="008F3885" w:rsidRPr="008F3885" w:rsidRDefault="008F3885" w:rsidP="008F3885">
      <w:pPr>
        <w:pBdr>
          <w:top w:val="nil"/>
          <w:left w:val="nil"/>
          <w:bottom w:val="nil"/>
          <w:right w:val="nil"/>
          <w:between w:val="nil"/>
        </w:pBdr>
        <w:spacing w:line="276" w:lineRule="auto"/>
        <w:ind w:firstLine="567"/>
      </w:pPr>
      <w:r w:rsidRPr="008F3885">
        <w:t xml:space="preserve">Polymerase chain reaction (PCR) with the entire 16S rRNA gene was performed using the following reaction mixes (Go-Taq G2 Green Master Mix, Promega, USA): 16S rRNA 27F primer (AGAGTGATCMTGGCTCAG), 1522R primer (AAGGAGGTGATCCARCCGCA). The 16S rRNA gene study was determined by sending the products of the PCR reaction of the predetermined genes with the primers of the resulting package at Psomagene sequencing company (USA). The sequences of the genes were blasted against the sequences of the genes deposited in the National Centre for Biotechnology Information (NCBI). Then, the presence of the </w:t>
      </w:r>
      <w:r w:rsidRPr="008F3885">
        <w:rPr>
          <w:i/>
          <w:iCs/>
        </w:rPr>
        <w:t>agg</w:t>
      </w:r>
      <w:r w:rsidRPr="008F3885">
        <w:t xml:space="preserve">, </w:t>
      </w:r>
      <w:r w:rsidRPr="008F3885">
        <w:rPr>
          <w:i/>
          <w:iCs/>
        </w:rPr>
        <w:t>esp</w:t>
      </w:r>
      <w:r w:rsidRPr="008F3885">
        <w:t xml:space="preserve">, and </w:t>
      </w:r>
      <w:r w:rsidRPr="008F3885">
        <w:rPr>
          <w:i/>
          <w:iCs/>
        </w:rPr>
        <w:t>ace</w:t>
      </w:r>
      <w:r w:rsidRPr="008F3885">
        <w:t xml:space="preserve"> genes was investigated in </w:t>
      </w:r>
      <w:r w:rsidRPr="008F3885">
        <w:rPr>
          <w:i/>
          <w:iCs/>
        </w:rPr>
        <w:t>Enterococcus faecalis</w:t>
      </w:r>
      <w:r w:rsidRPr="008F3885">
        <w:t xml:space="preserve"> and </w:t>
      </w:r>
      <w:r w:rsidRPr="008F3885">
        <w:rPr>
          <w:i/>
          <w:iCs/>
        </w:rPr>
        <w:t>Enterococcus lactis</w:t>
      </w:r>
      <w:r w:rsidRPr="008F3885">
        <w:t xml:space="preserve"> isolates.</w:t>
      </w:r>
    </w:p>
    <w:p w14:paraId="0DA54597" w14:textId="77777777" w:rsidR="008F3885" w:rsidRDefault="008F3885" w:rsidP="008F3885">
      <w:pPr>
        <w:pBdr>
          <w:top w:val="nil"/>
          <w:left w:val="nil"/>
          <w:bottom w:val="nil"/>
          <w:right w:val="nil"/>
          <w:between w:val="nil"/>
        </w:pBdr>
        <w:spacing w:line="276" w:lineRule="auto"/>
        <w:rPr>
          <w:b/>
          <w:bCs/>
        </w:rPr>
      </w:pPr>
    </w:p>
    <w:p w14:paraId="0466D174" w14:textId="6DA4E252" w:rsidR="008F3885" w:rsidRPr="008F3885" w:rsidRDefault="008F3885" w:rsidP="008F3885">
      <w:pPr>
        <w:pBdr>
          <w:top w:val="nil"/>
          <w:left w:val="nil"/>
          <w:bottom w:val="nil"/>
          <w:right w:val="nil"/>
          <w:between w:val="nil"/>
        </w:pBdr>
        <w:spacing w:line="276" w:lineRule="auto"/>
        <w:jc w:val="center"/>
      </w:pPr>
      <w:r w:rsidRPr="008F3885">
        <w:rPr>
          <w:b/>
          <w:bCs/>
        </w:rPr>
        <w:t>Table 1</w:t>
      </w:r>
      <w:r>
        <w:rPr>
          <w:b/>
          <w:bCs/>
        </w:rPr>
        <w:t>.</w:t>
      </w:r>
      <w:r w:rsidRPr="008F3885">
        <w:t xml:space="preserve"> Thermal Programs Used to Investigate Genes Using PCR</w:t>
      </w:r>
    </w:p>
    <w:tbl>
      <w:tblPr>
        <w:tblStyle w:val="MDPI41threelinetable"/>
        <w:tblW w:w="5000" w:type="pct"/>
        <w:tblLook w:val="0000" w:firstRow="0" w:lastRow="0" w:firstColumn="0" w:lastColumn="0" w:noHBand="0" w:noVBand="0"/>
      </w:tblPr>
      <w:tblGrid>
        <w:gridCol w:w="794"/>
        <w:gridCol w:w="1394"/>
        <w:gridCol w:w="1438"/>
        <w:gridCol w:w="1183"/>
        <w:gridCol w:w="1115"/>
        <w:gridCol w:w="816"/>
        <w:gridCol w:w="1160"/>
        <w:gridCol w:w="1126"/>
      </w:tblGrid>
      <w:tr w:rsidR="008F3885" w:rsidRPr="008F3885" w14:paraId="392453FB" w14:textId="77777777" w:rsidTr="008F3885">
        <w:tc>
          <w:tcPr>
            <w:tcW w:w="455" w:type="pct"/>
            <w:tcBorders>
              <w:top w:val="single" w:sz="8" w:space="0" w:color="auto"/>
              <w:bottom w:val="single" w:sz="4" w:space="0" w:color="auto"/>
            </w:tcBorders>
          </w:tcPr>
          <w:p w14:paraId="777DF906" w14:textId="77777777" w:rsidR="008F3885" w:rsidRPr="008F3885" w:rsidRDefault="008F3885" w:rsidP="008F3885">
            <w:pPr>
              <w:pBdr>
                <w:top w:val="nil"/>
                <w:left w:val="nil"/>
                <w:bottom w:val="nil"/>
                <w:right w:val="nil"/>
                <w:between w:val="nil"/>
              </w:pBdr>
              <w:spacing w:line="276" w:lineRule="auto"/>
            </w:pPr>
            <w:r w:rsidRPr="008F3885">
              <w:rPr>
                <w:b/>
                <w:bCs/>
              </w:rPr>
              <w:t>Genes</w:t>
            </w:r>
          </w:p>
        </w:tc>
        <w:tc>
          <w:tcPr>
            <w:tcW w:w="808" w:type="pct"/>
            <w:tcBorders>
              <w:top w:val="single" w:sz="8" w:space="0" w:color="auto"/>
              <w:bottom w:val="single" w:sz="4" w:space="0" w:color="auto"/>
            </w:tcBorders>
          </w:tcPr>
          <w:p w14:paraId="36C749A0" w14:textId="77777777" w:rsidR="008F3885" w:rsidRPr="008F3885" w:rsidRDefault="008F3885" w:rsidP="008F3885">
            <w:pPr>
              <w:pBdr>
                <w:top w:val="nil"/>
                <w:left w:val="nil"/>
                <w:bottom w:val="nil"/>
                <w:right w:val="nil"/>
                <w:between w:val="nil"/>
              </w:pBdr>
              <w:spacing w:line="276" w:lineRule="auto"/>
            </w:pPr>
            <w:r w:rsidRPr="008F3885">
              <w:rPr>
                <w:b/>
                <w:bCs/>
              </w:rPr>
              <w:t>Initial denaturation</w:t>
            </w:r>
          </w:p>
        </w:tc>
        <w:tc>
          <w:tcPr>
            <w:tcW w:w="657" w:type="pct"/>
            <w:tcBorders>
              <w:top w:val="single" w:sz="8" w:space="0" w:color="auto"/>
              <w:bottom w:val="single" w:sz="4" w:space="0" w:color="auto"/>
            </w:tcBorders>
          </w:tcPr>
          <w:p w14:paraId="16604F14" w14:textId="77777777" w:rsidR="008F3885" w:rsidRPr="008F3885" w:rsidRDefault="008F3885" w:rsidP="008F3885">
            <w:pPr>
              <w:pBdr>
                <w:top w:val="nil"/>
                <w:left w:val="nil"/>
                <w:bottom w:val="nil"/>
                <w:right w:val="nil"/>
                <w:between w:val="nil"/>
              </w:pBdr>
              <w:spacing w:line="276" w:lineRule="auto"/>
            </w:pPr>
            <w:r w:rsidRPr="008F3885">
              <w:rPr>
                <w:b/>
                <w:bCs/>
              </w:rPr>
              <w:t>Denaturation</w:t>
            </w:r>
          </w:p>
        </w:tc>
        <w:tc>
          <w:tcPr>
            <w:tcW w:w="758" w:type="pct"/>
            <w:tcBorders>
              <w:top w:val="single" w:sz="8" w:space="0" w:color="auto"/>
              <w:bottom w:val="single" w:sz="4" w:space="0" w:color="auto"/>
            </w:tcBorders>
          </w:tcPr>
          <w:p w14:paraId="07C65E7A" w14:textId="77777777" w:rsidR="008F3885" w:rsidRPr="008F3885" w:rsidRDefault="008F3885" w:rsidP="008F3885">
            <w:pPr>
              <w:pBdr>
                <w:top w:val="nil"/>
                <w:left w:val="nil"/>
                <w:bottom w:val="nil"/>
                <w:right w:val="nil"/>
                <w:between w:val="nil"/>
              </w:pBdr>
              <w:spacing w:line="276" w:lineRule="auto"/>
            </w:pPr>
            <w:r w:rsidRPr="008F3885">
              <w:rPr>
                <w:b/>
                <w:bCs/>
              </w:rPr>
              <w:t>Annealing</w:t>
            </w:r>
          </w:p>
        </w:tc>
        <w:tc>
          <w:tcPr>
            <w:tcW w:w="657" w:type="pct"/>
            <w:tcBorders>
              <w:top w:val="single" w:sz="8" w:space="0" w:color="auto"/>
              <w:bottom w:val="single" w:sz="4" w:space="0" w:color="auto"/>
            </w:tcBorders>
          </w:tcPr>
          <w:p w14:paraId="6023283D" w14:textId="77777777" w:rsidR="008F3885" w:rsidRPr="008F3885" w:rsidRDefault="008F3885" w:rsidP="008F3885">
            <w:pPr>
              <w:pBdr>
                <w:top w:val="nil"/>
                <w:left w:val="nil"/>
                <w:bottom w:val="nil"/>
                <w:right w:val="nil"/>
                <w:between w:val="nil"/>
              </w:pBdr>
              <w:spacing w:line="276" w:lineRule="auto"/>
            </w:pPr>
            <w:r w:rsidRPr="008F3885">
              <w:rPr>
                <w:b/>
                <w:bCs/>
              </w:rPr>
              <w:t>Extension</w:t>
            </w:r>
          </w:p>
        </w:tc>
        <w:tc>
          <w:tcPr>
            <w:tcW w:w="455" w:type="pct"/>
            <w:tcBorders>
              <w:top w:val="single" w:sz="8" w:space="0" w:color="auto"/>
              <w:bottom w:val="single" w:sz="4" w:space="0" w:color="auto"/>
            </w:tcBorders>
          </w:tcPr>
          <w:p w14:paraId="3FCB95A9" w14:textId="77777777" w:rsidR="008F3885" w:rsidRPr="008F3885" w:rsidRDefault="008F3885" w:rsidP="008F3885">
            <w:pPr>
              <w:pBdr>
                <w:top w:val="nil"/>
                <w:left w:val="nil"/>
                <w:bottom w:val="nil"/>
                <w:right w:val="nil"/>
                <w:between w:val="nil"/>
              </w:pBdr>
              <w:spacing w:line="276" w:lineRule="auto"/>
            </w:pPr>
            <w:r w:rsidRPr="008F3885">
              <w:rPr>
                <w:b/>
                <w:bCs/>
              </w:rPr>
              <w:t>N Cycles</w:t>
            </w:r>
          </w:p>
        </w:tc>
        <w:tc>
          <w:tcPr>
            <w:tcW w:w="758" w:type="pct"/>
            <w:tcBorders>
              <w:top w:val="single" w:sz="8" w:space="0" w:color="auto"/>
              <w:bottom w:val="single" w:sz="4" w:space="0" w:color="auto"/>
            </w:tcBorders>
          </w:tcPr>
          <w:p w14:paraId="003944A6" w14:textId="77777777" w:rsidR="008F3885" w:rsidRPr="008F3885" w:rsidRDefault="008F3885" w:rsidP="008F3885">
            <w:pPr>
              <w:pBdr>
                <w:top w:val="nil"/>
                <w:left w:val="nil"/>
                <w:bottom w:val="nil"/>
                <w:right w:val="nil"/>
                <w:between w:val="nil"/>
              </w:pBdr>
              <w:spacing w:line="276" w:lineRule="auto"/>
            </w:pPr>
            <w:r w:rsidRPr="008F3885">
              <w:rPr>
                <w:b/>
                <w:bCs/>
              </w:rPr>
              <w:t>Final extension (Min/°C)</w:t>
            </w:r>
          </w:p>
        </w:tc>
        <w:tc>
          <w:tcPr>
            <w:tcW w:w="455" w:type="pct"/>
            <w:tcBorders>
              <w:top w:val="single" w:sz="8" w:space="0" w:color="auto"/>
              <w:bottom w:val="single" w:sz="4" w:space="0" w:color="auto"/>
            </w:tcBorders>
          </w:tcPr>
          <w:p w14:paraId="300B3606" w14:textId="77777777" w:rsidR="008F3885" w:rsidRPr="008F3885" w:rsidRDefault="008F3885" w:rsidP="008F3885">
            <w:pPr>
              <w:pBdr>
                <w:top w:val="nil"/>
                <w:left w:val="nil"/>
                <w:bottom w:val="nil"/>
                <w:right w:val="nil"/>
                <w:between w:val="nil"/>
              </w:pBdr>
              <w:spacing w:line="276" w:lineRule="auto"/>
            </w:pPr>
            <w:r w:rsidRPr="008F3885">
              <w:rPr>
                <w:b/>
                <w:bCs/>
              </w:rPr>
              <w:t>Reference</w:t>
            </w:r>
          </w:p>
        </w:tc>
      </w:tr>
      <w:tr w:rsidR="008F3885" w:rsidRPr="008F3885" w14:paraId="58499218" w14:textId="77777777" w:rsidTr="008F3885">
        <w:tc>
          <w:tcPr>
            <w:tcW w:w="455" w:type="pct"/>
            <w:tcBorders>
              <w:top w:val="single" w:sz="4" w:space="0" w:color="auto"/>
            </w:tcBorders>
          </w:tcPr>
          <w:p w14:paraId="41B69734" w14:textId="77777777" w:rsidR="008F3885" w:rsidRPr="008F3885" w:rsidRDefault="008F3885" w:rsidP="008F3885">
            <w:pPr>
              <w:pBdr>
                <w:top w:val="nil"/>
                <w:left w:val="nil"/>
                <w:bottom w:val="nil"/>
                <w:right w:val="nil"/>
                <w:between w:val="nil"/>
              </w:pBdr>
              <w:spacing w:line="276" w:lineRule="auto"/>
            </w:pPr>
            <w:r w:rsidRPr="008F3885">
              <w:rPr>
                <w:i/>
                <w:iCs/>
              </w:rPr>
              <w:t>Agg</w:t>
            </w:r>
          </w:p>
        </w:tc>
        <w:tc>
          <w:tcPr>
            <w:tcW w:w="808" w:type="pct"/>
            <w:tcBorders>
              <w:top w:val="single" w:sz="4" w:space="0" w:color="auto"/>
            </w:tcBorders>
          </w:tcPr>
          <w:p w14:paraId="14D389A0" w14:textId="77777777" w:rsidR="008F3885" w:rsidRPr="008F3885" w:rsidRDefault="008F3885" w:rsidP="008F3885">
            <w:pPr>
              <w:pBdr>
                <w:top w:val="nil"/>
                <w:left w:val="nil"/>
                <w:bottom w:val="nil"/>
                <w:right w:val="nil"/>
                <w:between w:val="nil"/>
              </w:pBdr>
              <w:spacing w:line="276" w:lineRule="auto"/>
            </w:pPr>
            <w:r w:rsidRPr="008F3885">
              <w:t>94 °C / 5 min</w:t>
            </w:r>
          </w:p>
        </w:tc>
        <w:tc>
          <w:tcPr>
            <w:tcW w:w="657" w:type="pct"/>
            <w:tcBorders>
              <w:top w:val="single" w:sz="4" w:space="0" w:color="auto"/>
            </w:tcBorders>
          </w:tcPr>
          <w:p w14:paraId="1253698A" w14:textId="77777777" w:rsidR="008F3885" w:rsidRPr="008F3885" w:rsidRDefault="008F3885" w:rsidP="008F3885">
            <w:pPr>
              <w:pBdr>
                <w:top w:val="nil"/>
                <w:left w:val="nil"/>
                <w:bottom w:val="nil"/>
                <w:right w:val="nil"/>
                <w:between w:val="nil"/>
              </w:pBdr>
              <w:spacing w:line="276" w:lineRule="auto"/>
            </w:pPr>
            <w:r w:rsidRPr="008F3885">
              <w:t>94 °C 40 sec</w:t>
            </w:r>
          </w:p>
        </w:tc>
        <w:tc>
          <w:tcPr>
            <w:tcW w:w="758" w:type="pct"/>
            <w:tcBorders>
              <w:top w:val="single" w:sz="4" w:space="0" w:color="auto"/>
            </w:tcBorders>
          </w:tcPr>
          <w:p w14:paraId="25047F44" w14:textId="77777777" w:rsidR="008F3885" w:rsidRPr="008F3885" w:rsidRDefault="008F3885" w:rsidP="008F3885">
            <w:pPr>
              <w:pBdr>
                <w:top w:val="nil"/>
                <w:left w:val="nil"/>
                <w:bottom w:val="nil"/>
                <w:right w:val="nil"/>
                <w:between w:val="nil"/>
              </w:pBdr>
              <w:spacing w:line="276" w:lineRule="auto"/>
            </w:pPr>
            <w:r w:rsidRPr="008F3885">
              <w:t>50–68 °C 60 sec</w:t>
            </w:r>
          </w:p>
        </w:tc>
        <w:tc>
          <w:tcPr>
            <w:tcW w:w="657" w:type="pct"/>
            <w:tcBorders>
              <w:top w:val="single" w:sz="4" w:space="0" w:color="auto"/>
            </w:tcBorders>
          </w:tcPr>
          <w:p w14:paraId="38932D05" w14:textId="77777777" w:rsidR="008F3885" w:rsidRPr="008F3885" w:rsidRDefault="008F3885" w:rsidP="008F3885">
            <w:pPr>
              <w:pBdr>
                <w:top w:val="nil"/>
                <w:left w:val="nil"/>
                <w:bottom w:val="nil"/>
                <w:right w:val="nil"/>
                <w:between w:val="nil"/>
              </w:pBdr>
              <w:spacing w:line="276" w:lineRule="auto"/>
            </w:pPr>
            <w:r w:rsidRPr="008F3885">
              <w:t>72 °C 60 sec</w:t>
            </w:r>
          </w:p>
        </w:tc>
        <w:tc>
          <w:tcPr>
            <w:tcW w:w="455" w:type="pct"/>
            <w:tcBorders>
              <w:top w:val="single" w:sz="4" w:space="0" w:color="auto"/>
            </w:tcBorders>
          </w:tcPr>
          <w:p w14:paraId="0132E014" w14:textId="77777777" w:rsidR="008F3885" w:rsidRPr="008F3885" w:rsidRDefault="008F3885" w:rsidP="008F3885">
            <w:pPr>
              <w:pBdr>
                <w:top w:val="nil"/>
                <w:left w:val="nil"/>
                <w:bottom w:val="nil"/>
                <w:right w:val="nil"/>
                <w:between w:val="nil"/>
              </w:pBdr>
              <w:spacing w:line="276" w:lineRule="auto"/>
            </w:pPr>
            <w:r w:rsidRPr="008F3885">
              <w:t>30</w:t>
            </w:r>
          </w:p>
        </w:tc>
        <w:tc>
          <w:tcPr>
            <w:tcW w:w="758" w:type="pct"/>
            <w:tcBorders>
              <w:top w:val="single" w:sz="4" w:space="0" w:color="auto"/>
            </w:tcBorders>
          </w:tcPr>
          <w:p w14:paraId="17CB08C7" w14:textId="77777777" w:rsidR="008F3885" w:rsidRPr="008F3885" w:rsidRDefault="008F3885" w:rsidP="008F3885">
            <w:pPr>
              <w:pBdr>
                <w:top w:val="nil"/>
                <w:left w:val="nil"/>
                <w:bottom w:val="nil"/>
                <w:right w:val="nil"/>
                <w:between w:val="nil"/>
              </w:pBdr>
              <w:spacing w:line="276" w:lineRule="auto"/>
            </w:pPr>
            <w:r w:rsidRPr="008F3885">
              <w:t>72 °C / 7 min</w:t>
            </w:r>
          </w:p>
        </w:tc>
        <w:tc>
          <w:tcPr>
            <w:tcW w:w="455" w:type="pct"/>
            <w:tcBorders>
              <w:top w:val="single" w:sz="4" w:space="0" w:color="auto"/>
            </w:tcBorders>
          </w:tcPr>
          <w:p w14:paraId="631C85E5" w14:textId="77777777" w:rsidR="008F3885" w:rsidRPr="008F3885" w:rsidRDefault="008F3885" w:rsidP="008F3885">
            <w:pPr>
              <w:pBdr>
                <w:top w:val="nil"/>
                <w:left w:val="nil"/>
                <w:bottom w:val="nil"/>
                <w:right w:val="nil"/>
                <w:between w:val="nil"/>
              </w:pBdr>
              <w:spacing w:line="276" w:lineRule="auto"/>
            </w:pPr>
            <w:r w:rsidRPr="008F3885">
              <w:t>[11]</w:t>
            </w:r>
          </w:p>
        </w:tc>
      </w:tr>
      <w:tr w:rsidR="008F3885" w:rsidRPr="008F3885" w14:paraId="0228EBC5" w14:textId="77777777" w:rsidTr="008F3885">
        <w:tc>
          <w:tcPr>
            <w:tcW w:w="455" w:type="pct"/>
          </w:tcPr>
          <w:p w14:paraId="19769A75" w14:textId="77777777" w:rsidR="008F3885" w:rsidRPr="008F3885" w:rsidRDefault="008F3885" w:rsidP="008F3885">
            <w:pPr>
              <w:pBdr>
                <w:top w:val="nil"/>
                <w:left w:val="nil"/>
                <w:bottom w:val="nil"/>
                <w:right w:val="nil"/>
                <w:between w:val="nil"/>
              </w:pBdr>
              <w:spacing w:line="276" w:lineRule="auto"/>
            </w:pPr>
            <w:r w:rsidRPr="008F3885">
              <w:rPr>
                <w:i/>
                <w:iCs/>
              </w:rPr>
              <w:t>Esp</w:t>
            </w:r>
          </w:p>
        </w:tc>
        <w:tc>
          <w:tcPr>
            <w:tcW w:w="808" w:type="pct"/>
          </w:tcPr>
          <w:p w14:paraId="76103804" w14:textId="77777777" w:rsidR="008F3885" w:rsidRPr="008F3885" w:rsidRDefault="008F3885" w:rsidP="008F3885">
            <w:pPr>
              <w:pBdr>
                <w:top w:val="nil"/>
                <w:left w:val="nil"/>
                <w:bottom w:val="nil"/>
                <w:right w:val="nil"/>
                <w:between w:val="nil"/>
              </w:pBdr>
              <w:spacing w:line="276" w:lineRule="auto"/>
            </w:pPr>
          </w:p>
        </w:tc>
        <w:tc>
          <w:tcPr>
            <w:tcW w:w="657" w:type="pct"/>
          </w:tcPr>
          <w:p w14:paraId="6741F686" w14:textId="77777777" w:rsidR="008F3885" w:rsidRPr="008F3885" w:rsidRDefault="008F3885" w:rsidP="008F3885">
            <w:pPr>
              <w:pBdr>
                <w:top w:val="nil"/>
                <w:left w:val="nil"/>
                <w:bottom w:val="nil"/>
                <w:right w:val="nil"/>
                <w:between w:val="nil"/>
              </w:pBdr>
              <w:spacing w:line="276" w:lineRule="auto"/>
            </w:pPr>
          </w:p>
        </w:tc>
        <w:tc>
          <w:tcPr>
            <w:tcW w:w="758" w:type="pct"/>
          </w:tcPr>
          <w:p w14:paraId="689B634B" w14:textId="77777777" w:rsidR="008F3885" w:rsidRPr="008F3885" w:rsidRDefault="008F3885" w:rsidP="008F3885">
            <w:pPr>
              <w:pBdr>
                <w:top w:val="nil"/>
                <w:left w:val="nil"/>
                <w:bottom w:val="nil"/>
                <w:right w:val="nil"/>
                <w:between w:val="nil"/>
              </w:pBdr>
              <w:spacing w:line="276" w:lineRule="auto"/>
            </w:pPr>
          </w:p>
        </w:tc>
        <w:tc>
          <w:tcPr>
            <w:tcW w:w="657" w:type="pct"/>
          </w:tcPr>
          <w:p w14:paraId="2C3D34AD" w14:textId="77777777" w:rsidR="008F3885" w:rsidRPr="008F3885" w:rsidRDefault="008F3885" w:rsidP="008F3885">
            <w:pPr>
              <w:pBdr>
                <w:top w:val="nil"/>
                <w:left w:val="nil"/>
                <w:bottom w:val="nil"/>
                <w:right w:val="nil"/>
                <w:between w:val="nil"/>
              </w:pBdr>
              <w:spacing w:line="276" w:lineRule="auto"/>
            </w:pPr>
          </w:p>
        </w:tc>
        <w:tc>
          <w:tcPr>
            <w:tcW w:w="455" w:type="pct"/>
          </w:tcPr>
          <w:p w14:paraId="431A9110" w14:textId="77777777" w:rsidR="008F3885" w:rsidRPr="008F3885" w:rsidRDefault="008F3885" w:rsidP="008F3885">
            <w:pPr>
              <w:pBdr>
                <w:top w:val="nil"/>
                <w:left w:val="nil"/>
                <w:bottom w:val="nil"/>
                <w:right w:val="nil"/>
                <w:between w:val="nil"/>
              </w:pBdr>
              <w:spacing w:line="276" w:lineRule="auto"/>
            </w:pPr>
          </w:p>
        </w:tc>
        <w:tc>
          <w:tcPr>
            <w:tcW w:w="758" w:type="pct"/>
          </w:tcPr>
          <w:p w14:paraId="6D3BDFD6" w14:textId="77777777" w:rsidR="008F3885" w:rsidRPr="008F3885" w:rsidRDefault="008F3885" w:rsidP="008F3885">
            <w:pPr>
              <w:pBdr>
                <w:top w:val="nil"/>
                <w:left w:val="nil"/>
                <w:bottom w:val="nil"/>
                <w:right w:val="nil"/>
                <w:between w:val="nil"/>
              </w:pBdr>
              <w:spacing w:line="276" w:lineRule="auto"/>
            </w:pPr>
          </w:p>
        </w:tc>
        <w:tc>
          <w:tcPr>
            <w:tcW w:w="455" w:type="pct"/>
          </w:tcPr>
          <w:p w14:paraId="2D070A75" w14:textId="77777777" w:rsidR="008F3885" w:rsidRPr="008F3885" w:rsidRDefault="008F3885" w:rsidP="008F3885">
            <w:pPr>
              <w:pBdr>
                <w:top w:val="nil"/>
                <w:left w:val="nil"/>
                <w:bottom w:val="nil"/>
                <w:right w:val="nil"/>
                <w:between w:val="nil"/>
              </w:pBdr>
              <w:spacing w:line="276" w:lineRule="auto"/>
            </w:pPr>
          </w:p>
        </w:tc>
      </w:tr>
      <w:tr w:rsidR="008F3885" w:rsidRPr="008F3885" w14:paraId="112C6A0A" w14:textId="77777777" w:rsidTr="008F3885">
        <w:tc>
          <w:tcPr>
            <w:tcW w:w="455" w:type="pct"/>
          </w:tcPr>
          <w:p w14:paraId="76E9A00E" w14:textId="77777777" w:rsidR="008F3885" w:rsidRPr="008F3885" w:rsidRDefault="008F3885" w:rsidP="008F3885">
            <w:pPr>
              <w:pBdr>
                <w:top w:val="nil"/>
                <w:left w:val="nil"/>
                <w:bottom w:val="nil"/>
                <w:right w:val="nil"/>
                <w:between w:val="nil"/>
              </w:pBdr>
              <w:spacing w:line="276" w:lineRule="auto"/>
            </w:pPr>
            <w:r w:rsidRPr="008F3885">
              <w:rPr>
                <w:i/>
                <w:iCs/>
              </w:rPr>
              <w:t>Ace</w:t>
            </w:r>
          </w:p>
        </w:tc>
        <w:tc>
          <w:tcPr>
            <w:tcW w:w="808" w:type="pct"/>
          </w:tcPr>
          <w:p w14:paraId="7BAE41D4" w14:textId="77777777" w:rsidR="008F3885" w:rsidRPr="008F3885" w:rsidRDefault="008F3885" w:rsidP="008F3885">
            <w:pPr>
              <w:pBdr>
                <w:top w:val="nil"/>
                <w:left w:val="nil"/>
                <w:bottom w:val="nil"/>
                <w:right w:val="nil"/>
                <w:between w:val="nil"/>
              </w:pBdr>
              <w:spacing w:line="276" w:lineRule="auto"/>
            </w:pPr>
          </w:p>
        </w:tc>
        <w:tc>
          <w:tcPr>
            <w:tcW w:w="657" w:type="pct"/>
          </w:tcPr>
          <w:p w14:paraId="672065D0" w14:textId="77777777" w:rsidR="008F3885" w:rsidRPr="008F3885" w:rsidRDefault="008F3885" w:rsidP="008F3885">
            <w:pPr>
              <w:pBdr>
                <w:top w:val="nil"/>
                <w:left w:val="nil"/>
                <w:bottom w:val="nil"/>
                <w:right w:val="nil"/>
                <w:between w:val="nil"/>
              </w:pBdr>
              <w:spacing w:line="276" w:lineRule="auto"/>
            </w:pPr>
          </w:p>
        </w:tc>
        <w:tc>
          <w:tcPr>
            <w:tcW w:w="758" w:type="pct"/>
          </w:tcPr>
          <w:p w14:paraId="60EEC9E2" w14:textId="77777777" w:rsidR="008F3885" w:rsidRPr="008F3885" w:rsidRDefault="008F3885" w:rsidP="008F3885">
            <w:pPr>
              <w:pBdr>
                <w:top w:val="nil"/>
                <w:left w:val="nil"/>
                <w:bottom w:val="nil"/>
                <w:right w:val="nil"/>
                <w:between w:val="nil"/>
              </w:pBdr>
              <w:spacing w:line="276" w:lineRule="auto"/>
            </w:pPr>
          </w:p>
        </w:tc>
        <w:tc>
          <w:tcPr>
            <w:tcW w:w="657" w:type="pct"/>
          </w:tcPr>
          <w:p w14:paraId="43C3BD77" w14:textId="77777777" w:rsidR="008F3885" w:rsidRPr="008F3885" w:rsidRDefault="008F3885" w:rsidP="008F3885">
            <w:pPr>
              <w:pBdr>
                <w:top w:val="nil"/>
                <w:left w:val="nil"/>
                <w:bottom w:val="nil"/>
                <w:right w:val="nil"/>
                <w:between w:val="nil"/>
              </w:pBdr>
              <w:spacing w:line="276" w:lineRule="auto"/>
            </w:pPr>
          </w:p>
        </w:tc>
        <w:tc>
          <w:tcPr>
            <w:tcW w:w="455" w:type="pct"/>
          </w:tcPr>
          <w:p w14:paraId="47485A51" w14:textId="77777777" w:rsidR="008F3885" w:rsidRPr="008F3885" w:rsidRDefault="008F3885" w:rsidP="008F3885">
            <w:pPr>
              <w:pBdr>
                <w:top w:val="nil"/>
                <w:left w:val="nil"/>
                <w:bottom w:val="nil"/>
                <w:right w:val="nil"/>
                <w:between w:val="nil"/>
              </w:pBdr>
              <w:spacing w:line="276" w:lineRule="auto"/>
            </w:pPr>
          </w:p>
        </w:tc>
        <w:tc>
          <w:tcPr>
            <w:tcW w:w="758" w:type="pct"/>
          </w:tcPr>
          <w:p w14:paraId="3DBDB855" w14:textId="77777777" w:rsidR="008F3885" w:rsidRPr="008F3885" w:rsidRDefault="008F3885" w:rsidP="008F3885">
            <w:pPr>
              <w:pBdr>
                <w:top w:val="nil"/>
                <w:left w:val="nil"/>
                <w:bottom w:val="nil"/>
                <w:right w:val="nil"/>
                <w:between w:val="nil"/>
              </w:pBdr>
              <w:spacing w:line="276" w:lineRule="auto"/>
            </w:pPr>
          </w:p>
        </w:tc>
        <w:tc>
          <w:tcPr>
            <w:tcW w:w="455" w:type="pct"/>
          </w:tcPr>
          <w:p w14:paraId="325565BA" w14:textId="77777777" w:rsidR="008F3885" w:rsidRPr="008F3885" w:rsidRDefault="008F3885" w:rsidP="008F3885">
            <w:pPr>
              <w:pBdr>
                <w:top w:val="nil"/>
                <w:left w:val="nil"/>
                <w:bottom w:val="nil"/>
                <w:right w:val="nil"/>
                <w:between w:val="nil"/>
              </w:pBdr>
              <w:spacing w:line="276" w:lineRule="auto"/>
            </w:pPr>
          </w:p>
        </w:tc>
      </w:tr>
    </w:tbl>
    <w:p w14:paraId="6F8EED9B" w14:textId="77777777" w:rsidR="008F3885" w:rsidRDefault="008F3885" w:rsidP="008F3885">
      <w:pPr>
        <w:pBdr>
          <w:top w:val="nil"/>
          <w:left w:val="nil"/>
          <w:bottom w:val="nil"/>
          <w:right w:val="nil"/>
          <w:between w:val="nil"/>
        </w:pBdr>
        <w:spacing w:line="276" w:lineRule="auto"/>
        <w:rPr>
          <w:b/>
          <w:bCs/>
        </w:rPr>
      </w:pPr>
    </w:p>
    <w:p w14:paraId="6FECB076" w14:textId="17CEB1FD" w:rsidR="008F3885" w:rsidRPr="008F3885" w:rsidRDefault="008F3885" w:rsidP="008F3885">
      <w:pPr>
        <w:pBdr>
          <w:top w:val="nil"/>
          <w:left w:val="nil"/>
          <w:bottom w:val="nil"/>
          <w:right w:val="nil"/>
          <w:between w:val="nil"/>
        </w:pBdr>
        <w:spacing w:line="276" w:lineRule="auto"/>
      </w:pPr>
      <w:r w:rsidRPr="008F3885">
        <w:rPr>
          <w:b/>
          <w:bCs/>
        </w:rPr>
        <w:t>Results</w:t>
      </w:r>
    </w:p>
    <w:p w14:paraId="663A8CDC" w14:textId="1EB66C95" w:rsidR="008F3885" w:rsidRPr="008F3885" w:rsidRDefault="008F3885" w:rsidP="008F3885">
      <w:pPr>
        <w:pBdr>
          <w:top w:val="nil"/>
          <w:left w:val="nil"/>
          <w:bottom w:val="nil"/>
          <w:right w:val="nil"/>
          <w:between w:val="nil"/>
        </w:pBdr>
        <w:spacing w:line="276" w:lineRule="auto"/>
      </w:pPr>
      <w:r w:rsidRPr="008F3885">
        <w:rPr>
          <w:b/>
          <w:bCs/>
        </w:rPr>
        <w:t>Distribution of Bacterial Isolates</w:t>
      </w:r>
    </w:p>
    <w:p w14:paraId="6F3AC6A2" w14:textId="77777777" w:rsidR="008F3885" w:rsidRPr="008F3885" w:rsidRDefault="008F3885" w:rsidP="008F3885">
      <w:pPr>
        <w:pBdr>
          <w:top w:val="nil"/>
          <w:left w:val="nil"/>
          <w:bottom w:val="nil"/>
          <w:right w:val="nil"/>
          <w:between w:val="nil"/>
        </w:pBdr>
        <w:spacing w:line="276" w:lineRule="auto"/>
        <w:ind w:firstLine="567"/>
      </w:pPr>
      <w:r w:rsidRPr="008F3885">
        <w:t>Based on the phenotypic diagnosis and using the VITEK2 system, we obtained 98 bacterial growth samples from 210 clinical samples taken from patients suffering from soft tissue infections (abscesses, boils, surgical wounds, burns, diabetic foot ulcers), divided into swabs, aspirates, and biopsies as in Table 2.</w:t>
      </w:r>
    </w:p>
    <w:p w14:paraId="0B2BA879" w14:textId="77777777" w:rsidR="008F3885" w:rsidRDefault="008F3885" w:rsidP="008F3885">
      <w:pPr>
        <w:pBdr>
          <w:top w:val="nil"/>
          <w:left w:val="nil"/>
          <w:bottom w:val="nil"/>
          <w:right w:val="nil"/>
          <w:between w:val="nil"/>
        </w:pBdr>
        <w:spacing w:line="276" w:lineRule="auto"/>
        <w:rPr>
          <w:b/>
          <w:bCs/>
        </w:rPr>
      </w:pPr>
    </w:p>
    <w:p w14:paraId="3CE33893" w14:textId="0A2DF353" w:rsidR="008F3885" w:rsidRPr="008F3885" w:rsidRDefault="008F3885" w:rsidP="008F3885">
      <w:pPr>
        <w:pBdr>
          <w:top w:val="nil"/>
          <w:left w:val="nil"/>
          <w:bottom w:val="nil"/>
          <w:right w:val="nil"/>
          <w:between w:val="nil"/>
        </w:pBdr>
        <w:spacing w:line="276" w:lineRule="auto"/>
        <w:jc w:val="center"/>
      </w:pPr>
      <w:r w:rsidRPr="008F3885">
        <w:rPr>
          <w:b/>
          <w:bCs/>
        </w:rPr>
        <w:t>Table 2</w:t>
      </w:r>
      <w:r>
        <w:rPr>
          <w:b/>
          <w:bCs/>
        </w:rPr>
        <w:t xml:space="preserve">. </w:t>
      </w:r>
      <w:r w:rsidRPr="008F3885">
        <w:t>Distribution of bacterial isolates according to sample type.</w:t>
      </w:r>
    </w:p>
    <w:tbl>
      <w:tblPr>
        <w:tblStyle w:val="MDPI41threelinetable"/>
        <w:tblW w:w="8000" w:type="dxa"/>
        <w:tblLayout w:type="fixed"/>
        <w:tblLook w:val="0000" w:firstRow="0" w:lastRow="0" w:firstColumn="0" w:lastColumn="0" w:noHBand="0" w:noVBand="0"/>
      </w:tblPr>
      <w:tblGrid>
        <w:gridCol w:w="3800"/>
        <w:gridCol w:w="1400"/>
        <w:gridCol w:w="1400"/>
        <w:gridCol w:w="1400"/>
      </w:tblGrid>
      <w:tr w:rsidR="008F3885" w:rsidRPr="008F3885" w14:paraId="68C605F5" w14:textId="77777777" w:rsidTr="008F3885">
        <w:tc>
          <w:tcPr>
            <w:tcW w:w="3800" w:type="dxa"/>
            <w:tcBorders>
              <w:bottom w:val="single" w:sz="4" w:space="0" w:color="auto"/>
            </w:tcBorders>
          </w:tcPr>
          <w:p w14:paraId="73FE45D4" w14:textId="77777777" w:rsidR="008F3885" w:rsidRPr="008F3885" w:rsidRDefault="008F3885" w:rsidP="008F3885">
            <w:pPr>
              <w:pBdr>
                <w:top w:val="nil"/>
                <w:left w:val="nil"/>
                <w:bottom w:val="nil"/>
                <w:right w:val="nil"/>
                <w:between w:val="nil"/>
              </w:pBdr>
              <w:spacing w:line="276" w:lineRule="auto"/>
              <w:jc w:val="both"/>
            </w:pPr>
            <w:r w:rsidRPr="008F3885">
              <w:rPr>
                <w:b/>
                <w:bCs/>
              </w:rPr>
              <w:t>Bacterial Isolates</w:t>
            </w:r>
          </w:p>
        </w:tc>
        <w:tc>
          <w:tcPr>
            <w:tcW w:w="1400" w:type="dxa"/>
            <w:tcBorders>
              <w:bottom w:val="single" w:sz="4" w:space="0" w:color="auto"/>
            </w:tcBorders>
          </w:tcPr>
          <w:p w14:paraId="7CC9BB77" w14:textId="77777777" w:rsidR="008F3885" w:rsidRPr="008F3885" w:rsidRDefault="008F3885" w:rsidP="008F3885">
            <w:pPr>
              <w:pBdr>
                <w:top w:val="nil"/>
                <w:left w:val="nil"/>
                <w:bottom w:val="nil"/>
                <w:right w:val="nil"/>
                <w:between w:val="nil"/>
              </w:pBdr>
              <w:spacing w:line="276" w:lineRule="auto"/>
              <w:jc w:val="both"/>
            </w:pPr>
            <w:r w:rsidRPr="008F3885">
              <w:rPr>
                <w:b/>
                <w:bCs/>
              </w:rPr>
              <w:t>Swabs</w:t>
            </w:r>
          </w:p>
        </w:tc>
        <w:tc>
          <w:tcPr>
            <w:tcW w:w="1400" w:type="dxa"/>
            <w:tcBorders>
              <w:bottom w:val="single" w:sz="4" w:space="0" w:color="auto"/>
            </w:tcBorders>
          </w:tcPr>
          <w:p w14:paraId="6229C255" w14:textId="77777777" w:rsidR="008F3885" w:rsidRPr="008F3885" w:rsidRDefault="008F3885" w:rsidP="008F3885">
            <w:pPr>
              <w:pBdr>
                <w:top w:val="nil"/>
                <w:left w:val="nil"/>
                <w:bottom w:val="nil"/>
                <w:right w:val="nil"/>
                <w:between w:val="nil"/>
              </w:pBdr>
              <w:spacing w:line="276" w:lineRule="auto"/>
              <w:jc w:val="both"/>
            </w:pPr>
            <w:r w:rsidRPr="008F3885">
              <w:rPr>
                <w:b/>
                <w:bCs/>
              </w:rPr>
              <w:t>Aspirates</w:t>
            </w:r>
          </w:p>
        </w:tc>
        <w:tc>
          <w:tcPr>
            <w:tcW w:w="1400" w:type="dxa"/>
            <w:tcBorders>
              <w:bottom w:val="single" w:sz="4" w:space="0" w:color="auto"/>
            </w:tcBorders>
          </w:tcPr>
          <w:p w14:paraId="77112BB0" w14:textId="77777777" w:rsidR="008F3885" w:rsidRPr="008F3885" w:rsidRDefault="008F3885" w:rsidP="008F3885">
            <w:pPr>
              <w:pBdr>
                <w:top w:val="nil"/>
                <w:left w:val="nil"/>
                <w:bottom w:val="nil"/>
                <w:right w:val="nil"/>
                <w:between w:val="nil"/>
              </w:pBdr>
              <w:spacing w:line="276" w:lineRule="auto"/>
              <w:jc w:val="both"/>
            </w:pPr>
            <w:r w:rsidRPr="008F3885">
              <w:rPr>
                <w:b/>
                <w:bCs/>
              </w:rPr>
              <w:t>Biopsies</w:t>
            </w:r>
          </w:p>
        </w:tc>
      </w:tr>
      <w:tr w:rsidR="008F3885" w:rsidRPr="008F3885" w14:paraId="1C1B108F" w14:textId="77777777" w:rsidTr="008F3885">
        <w:tc>
          <w:tcPr>
            <w:tcW w:w="3800" w:type="dxa"/>
            <w:tcBorders>
              <w:top w:val="single" w:sz="4" w:space="0" w:color="auto"/>
              <w:bottom w:val="nil"/>
            </w:tcBorders>
          </w:tcPr>
          <w:p w14:paraId="0FDF6E22" w14:textId="77777777" w:rsidR="008F3885" w:rsidRPr="008F3885" w:rsidRDefault="008F3885" w:rsidP="008F3885">
            <w:pPr>
              <w:pBdr>
                <w:top w:val="nil"/>
                <w:left w:val="nil"/>
                <w:bottom w:val="nil"/>
                <w:right w:val="nil"/>
                <w:between w:val="nil"/>
              </w:pBdr>
              <w:spacing w:line="276" w:lineRule="auto"/>
              <w:jc w:val="both"/>
            </w:pPr>
            <w:r w:rsidRPr="008F3885">
              <w:rPr>
                <w:i/>
                <w:iCs/>
              </w:rPr>
              <w:t>Staphylococcus aureus</w:t>
            </w:r>
          </w:p>
        </w:tc>
        <w:tc>
          <w:tcPr>
            <w:tcW w:w="1400" w:type="dxa"/>
            <w:tcBorders>
              <w:top w:val="single" w:sz="4" w:space="0" w:color="auto"/>
              <w:bottom w:val="nil"/>
            </w:tcBorders>
          </w:tcPr>
          <w:p w14:paraId="0990D7EF" w14:textId="77777777" w:rsidR="008F3885" w:rsidRPr="008F3885" w:rsidRDefault="008F3885" w:rsidP="008F3885">
            <w:pPr>
              <w:pBdr>
                <w:top w:val="nil"/>
                <w:left w:val="nil"/>
                <w:bottom w:val="nil"/>
                <w:right w:val="nil"/>
                <w:between w:val="nil"/>
              </w:pBdr>
              <w:spacing w:line="276" w:lineRule="auto"/>
              <w:jc w:val="both"/>
            </w:pPr>
            <w:r w:rsidRPr="008F3885">
              <w:t>13</w:t>
            </w:r>
          </w:p>
        </w:tc>
        <w:tc>
          <w:tcPr>
            <w:tcW w:w="1400" w:type="dxa"/>
            <w:tcBorders>
              <w:top w:val="single" w:sz="4" w:space="0" w:color="auto"/>
              <w:bottom w:val="nil"/>
            </w:tcBorders>
          </w:tcPr>
          <w:p w14:paraId="14B8AD8A" w14:textId="77777777" w:rsidR="008F3885" w:rsidRPr="008F3885" w:rsidRDefault="008F3885" w:rsidP="008F3885">
            <w:pPr>
              <w:pBdr>
                <w:top w:val="nil"/>
                <w:left w:val="nil"/>
                <w:bottom w:val="nil"/>
                <w:right w:val="nil"/>
                <w:between w:val="nil"/>
              </w:pBdr>
              <w:spacing w:line="276" w:lineRule="auto"/>
              <w:jc w:val="both"/>
            </w:pPr>
            <w:r w:rsidRPr="008F3885">
              <w:t>4</w:t>
            </w:r>
          </w:p>
        </w:tc>
        <w:tc>
          <w:tcPr>
            <w:tcW w:w="1400" w:type="dxa"/>
            <w:tcBorders>
              <w:top w:val="single" w:sz="4" w:space="0" w:color="auto"/>
              <w:bottom w:val="nil"/>
            </w:tcBorders>
          </w:tcPr>
          <w:p w14:paraId="0BE64613" w14:textId="77777777" w:rsidR="008F3885" w:rsidRPr="008F3885" w:rsidRDefault="008F3885" w:rsidP="008F3885">
            <w:pPr>
              <w:pBdr>
                <w:top w:val="nil"/>
                <w:left w:val="nil"/>
                <w:bottom w:val="nil"/>
                <w:right w:val="nil"/>
                <w:between w:val="nil"/>
              </w:pBdr>
              <w:spacing w:line="276" w:lineRule="auto"/>
              <w:jc w:val="both"/>
            </w:pPr>
            <w:r w:rsidRPr="008F3885">
              <w:t>3</w:t>
            </w:r>
          </w:p>
        </w:tc>
      </w:tr>
      <w:tr w:rsidR="008F3885" w:rsidRPr="008F3885" w14:paraId="3760591D" w14:textId="77777777" w:rsidTr="008F3885">
        <w:tc>
          <w:tcPr>
            <w:tcW w:w="3800" w:type="dxa"/>
            <w:tcBorders>
              <w:top w:val="nil"/>
            </w:tcBorders>
          </w:tcPr>
          <w:p w14:paraId="555706A1" w14:textId="77777777" w:rsidR="008F3885" w:rsidRPr="008F3885" w:rsidRDefault="008F3885" w:rsidP="008F3885">
            <w:pPr>
              <w:pBdr>
                <w:top w:val="nil"/>
                <w:left w:val="nil"/>
                <w:bottom w:val="nil"/>
                <w:right w:val="nil"/>
                <w:between w:val="nil"/>
              </w:pBdr>
              <w:spacing w:line="276" w:lineRule="auto"/>
              <w:jc w:val="both"/>
            </w:pPr>
            <w:r w:rsidRPr="008F3885">
              <w:rPr>
                <w:i/>
                <w:iCs/>
              </w:rPr>
              <w:t>Coagulase Negative Staphylococci</w:t>
            </w:r>
          </w:p>
        </w:tc>
        <w:tc>
          <w:tcPr>
            <w:tcW w:w="1400" w:type="dxa"/>
            <w:tcBorders>
              <w:top w:val="nil"/>
            </w:tcBorders>
          </w:tcPr>
          <w:p w14:paraId="06A62FAD" w14:textId="77777777" w:rsidR="008F3885" w:rsidRPr="008F3885" w:rsidRDefault="008F3885" w:rsidP="008F3885">
            <w:pPr>
              <w:pBdr>
                <w:top w:val="nil"/>
                <w:left w:val="nil"/>
                <w:bottom w:val="nil"/>
                <w:right w:val="nil"/>
                <w:between w:val="nil"/>
              </w:pBdr>
              <w:spacing w:line="276" w:lineRule="auto"/>
              <w:jc w:val="both"/>
            </w:pPr>
            <w:r w:rsidRPr="008F3885">
              <w:t>7</w:t>
            </w:r>
          </w:p>
        </w:tc>
        <w:tc>
          <w:tcPr>
            <w:tcW w:w="1400" w:type="dxa"/>
            <w:tcBorders>
              <w:top w:val="nil"/>
            </w:tcBorders>
          </w:tcPr>
          <w:p w14:paraId="307FA384" w14:textId="77777777" w:rsidR="008F3885" w:rsidRPr="008F3885" w:rsidRDefault="008F3885" w:rsidP="008F3885">
            <w:pPr>
              <w:pBdr>
                <w:top w:val="nil"/>
                <w:left w:val="nil"/>
                <w:bottom w:val="nil"/>
                <w:right w:val="nil"/>
                <w:between w:val="nil"/>
              </w:pBdr>
              <w:spacing w:line="276" w:lineRule="auto"/>
              <w:jc w:val="both"/>
            </w:pPr>
            <w:r w:rsidRPr="008F3885">
              <w:t>3</w:t>
            </w:r>
          </w:p>
        </w:tc>
        <w:tc>
          <w:tcPr>
            <w:tcW w:w="1400" w:type="dxa"/>
            <w:tcBorders>
              <w:top w:val="nil"/>
            </w:tcBorders>
          </w:tcPr>
          <w:p w14:paraId="2BB0C41D" w14:textId="77777777" w:rsidR="008F3885" w:rsidRPr="008F3885" w:rsidRDefault="008F3885" w:rsidP="008F3885">
            <w:pPr>
              <w:pBdr>
                <w:top w:val="nil"/>
                <w:left w:val="nil"/>
                <w:bottom w:val="nil"/>
                <w:right w:val="nil"/>
                <w:between w:val="nil"/>
              </w:pBdr>
              <w:spacing w:line="276" w:lineRule="auto"/>
              <w:jc w:val="both"/>
            </w:pPr>
            <w:r w:rsidRPr="008F3885">
              <w:t>1</w:t>
            </w:r>
          </w:p>
        </w:tc>
      </w:tr>
      <w:tr w:rsidR="008F3885" w:rsidRPr="008F3885" w14:paraId="5357D94F" w14:textId="77777777" w:rsidTr="008F3885">
        <w:tc>
          <w:tcPr>
            <w:tcW w:w="3800" w:type="dxa"/>
          </w:tcPr>
          <w:p w14:paraId="06477971" w14:textId="77777777" w:rsidR="008F3885" w:rsidRPr="008F3885" w:rsidRDefault="008F3885" w:rsidP="008F3885">
            <w:pPr>
              <w:pBdr>
                <w:top w:val="nil"/>
                <w:left w:val="nil"/>
                <w:bottom w:val="nil"/>
                <w:right w:val="nil"/>
                <w:between w:val="nil"/>
              </w:pBdr>
              <w:spacing w:line="276" w:lineRule="auto"/>
              <w:jc w:val="both"/>
            </w:pPr>
            <w:r w:rsidRPr="008F3885">
              <w:rPr>
                <w:i/>
                <w:iCs/>
              </w:rPr>
              <w:t>Streptococcus pyogenes</w:t>
            </w:r>
          </w:p>
        </w:tc>
        <w:tc>
          <w:tcPr>
            <w:tcW w:w="1400" w:type="dxa"/>
          </w:tcPr>
          <w:p w14:paraId="7F0A9799" w14:textId="77777777" w:rsidR="008F3885" w:rsidRPr="008F3885" w:rsidRDefault="008F3885" w:rsidP="008F3885">
            <w:pPr>
              <w:pBdr>
                <w:top w:val="nil"/>
                <w:left w:val="nil"/>
                <w:bottom w:val="nil"/>
                <w:right w:val="nil"/>
                <w:between w:val="nil"/>
              </w:pBdr>
              <w:spacing w:line="276" w:lineRule="auto"/>
              <w:jc w:val="both"/>
            </w:pPr>
            <w:r w:rsidRPr="008F3885">
              <w:t>5</w:t>
            </w:r>
          </w:p>
        </w:tc>
        <w:tc>
          <w:tcPr>
            <w:tcW w:w="1400" w:type="dxa"/>
          </w:tcPr>
          <w:p w14:paraId="5466C796" w14:textId="77777777" w:rsidR="008F3885" w:rsidRPr="008F3885" w:rsidRDefault="008F3885" w:rsidP="008F3885">
            <w:pPr>
              <w:pBdr>
                <w:top w:val="nil"/>
                <w:left w:val="nil"/>
                <w:bottom w:val="nil"/>
                <w:right w:val="nil"/>
                <w:between w:val="nil"/>
              </w:pBdr>
              <w:spacing w:line="276" w:lineRule="auto"/>
              <w:jc w:val="both"/>
            </w:pPr>
            <w:r w:rsidRPr="008F3885">
              <w:t>3</w:t>
            </w:r>
          </w:p>
        </w:tc>
        <w:tc>
          <w:tcPr>
            <w:tcW w:w="1400" w:type="dxa"/>
          </w:tcPr>
          <w:p w14:paraId="06039AD7" w14:textId="77777777" w:rsidR="008F3885" w:rsidRPr="008F3885" w:rsidRDefault="008F3885" w:rsidP="008F3885">
            <w:pPr>
              <w:pBdr>
                <w:top w:val="nil"/>
                <w:left w:val="nil"/>
                <w:bottom w:val="nil"/>
                <w:right w:val="nil"/>
                <w:between w:val="nil"/>
              </w:pBdr>
              <w:spacing w:line="276" w:lineRule="auto"/>
              <w:jc w:val="both"/>
            </w:pPr>
            <w:r w:rsidRPr="008F3885">
              <w:t>2</w:t>
            </w:r>
          </w:p>
        </w:tc>
      </w:tr>
      <w:tr w:rsidR="008F3885" w:rsidRPr="008F3885" w14:paraId="5DEE9E6D" w14:textId="77777777" w:rsidTr="008F3885">
        <w:tc>
          <w:tcPr>
            <w:tcW w:w="3800" w:type="dxa"/>
          </w:tcPr>
          <w:p w14:paraId="6C38962C" w14:textId="77777777" w:rsidR="008F3885" w:rsidRPr="008F3885" w:rsidRDefault="008F3885" w:rsidP="008F3885">
            <w:pPr>
              <w:pBdr>
                <w:top w:val="nil"/>
                <w:left w:val="nil"/>
                <w:bottom w:val="nil"/>
                <w:right w:val="nil"/>
                <w:between w:val="nil"/>
              </w:pBdr>
              <w:spacing w:line="276" w:lineRule="auto"/>
              <w:jc w:val="both"/>
            </w:pPr>
            <w:r w:rsidRPr="008F3885">
              <w:rPr>
                <w:i/>
                <w:iCs/>
              </w:rPr>
              <w:t>Streptococcus agalactiae</w:t>
            </w:r>
          </w:p>
        </w:tc>
        <w:tc>
          <w:tcPr>
            <w:tcW w:w="1400" w:type="dxa"/>
          </w:tcPr>
          <w:p w14:paraId="51E5F418" w14:textId="77777777" w:rsidR="008F3885" w:rsidRPr="008F3885" w:rsidRDefault="008F3885" w:rsidP="008F3885">
            <w:pPr>
              <w:pBdr>
                <w:top w:val="nil"/>
                <w:left w:val="nil"/>
                <w:bottom w:val="nil"/>
                <w:right w:val="nil"/>
                <w:between w:val="nil"/>
              </w:pBdr>
              <w:spacing w:line="276" w:lineRule="auto"/>
              <w:jc w:val="both"/>
            </w:pPr>
            <w:r w:rsidRPr="008F3885">
              <w:t>3</w:t>
            </w:r>
          </w:p>
        </w:tc>
        <w:tc>
          <w:tcPr>
            <w:tcW w:w="1400" w:type="dxa"/>
          </w:tcPr>
          <w:p w14:paraId="7DD21BF3" w14:textId="77777777" w:rsidR="008F3885" w:rsidRPr="008F3885" w:rsidRDefault="008F3885" w:rsidP="008F3885">
            <w:pPr>
              <w:pBdr>
                <w:top w:val="nil"/>
                <w:left w:val="nil"/>
                <w:bottom w:val="nil"/>
                <w:right w:val="nil"/>
                <w:between w:val="nil"/>
              </w:pBdr>
              <w:spacing w:line="276" w:lineRule="auto"/>
              <w:jc w:val="both"/>
            </w:pPr>
            <w:r w:rsidRPr="008F3885">
              <w:t>1</w:t>
            </w:r>
          </w:p>
        </w:tc>
        <w:tc>
          <w:tcPr>
            <w:tcW w:w="1400" w:type="dxa"/>
          </w:tcPr>
          <w:p w14:paraId="00873450" w14:textId="77777777" w:rsidR="008F3885" w:rsidRPr="008F3885" w:rsidRDefault="008F3885" w:rsidP="008F3885">
            <w:pPr>
              <w:pBdr>
                <w:top w:val="nil"/>
                <w:left w:val="nil"/>
                <w:bottom w:val="nil"/>
                <w:right w:val="nil"/>
                <w:between w:val="nil"/>
              </w:pBdr>
              <w:spacing w:line="276" w:lineRule="auto"/>
              <w:jc w:val="both"/>
            </w:pPr>
            <w:r w:rsidRPr="008F3885">
              <w:t>0</w:t>
            </w:r>
          </w:p>
        </w:tc>
      </w:tr>
      <w:tr w:rsidR="008F3885" w:rsidRPr="008F3885" w14:paraId="55733F6F" w14:textId="77777777" w:rsidTr="008F3885">
        <w:tc>
          <w:tcPr>
            <w:tcW w:w="3800" w:type="dxa"/>
          </w:tcPr>
          <w:p w14:paraId="2640B2BD" w14:textId="77777777" w:rsidR="008F3885" w:rsidRPr="008F3885" w:rsidRDefault="008F3885" w:rsidP="008F3885">
            <w:pPr>
              <w:pBdr>
                <w:top w:val="nil"/>
                <w:left w:val="nil"/>
                <w:bottom w:val="nil"/>
                <w:right w:val="nil"/>
                <w:between w:val="nil"/>
              </w:pBdr>
              <w:spacing w:line="276" w:lineRule="auto"/>
              <w:jc w:val="both"/>
            </w:pPr>
            <w:r w:rsidRPr="008F3885">
              <w:rPr>
                <w:i/>
                <w:iCs/>
              </w:rPr>
              <w:t>Enterococcus</w:t>
            </w:r>
          </w:p>
        </w:tc>
        <w:tc>
          <w:tcPr>
            <w:tcW w:w="1400" w:type="dxa"/>
          </w:tcPr>
          <w:p w14:paraId="1B15B442" w14:textId="77777777" w:rsidR="008F3885" w:rsidRPr="008F3885" w:rsidRDefault="008F3885" w:rsidP="008F3885">
            <w:pPr>
              <w:pBdr>
                <w:top w:val="nil"/>
                <w:left w:val="nil"/>
                <w:bottom w:val="nil"/>
                <w:right w:val="nil"/>
                <w:between w:val="nil"/>
              </w:pBdr>
              <w:spacing w:line="276" w:lineRule="auto"/>
              <w:jc w:val="both"/>
            </w:pPr>
            <w:r w:rsidRPr="008F3885">
              <w:t>3</w:t>
            </w:r>
          </w:p>
        </w:tc>
        <w:tc>
          <w:tcPr>
            <w:tcW w:w="1400" w:type="dxa"/>
          </w:tcPr>
          <w:p w14:paraId="2AB11946" w14:textId="77777777" w:rsidR="008F3885" w:rsidRPr="008F3885" w:rsidRDefault="008F3885" w:rsidP="008F3885">
            <w:pPr>
              <w:pBdr>
                <w:top w:val="nil"/>
                <w:left w:val="nil"/>
                <w:bottom w:val="nil"/>
                <w:right w:val="nil"/>
                <w:between w:val="nil"/>
              </w:pBdr>
              <w:spacing w:line="276" w:lineRule="auto"/>
              <w:jc w:val="both"/>
            </w:pPr>
            <w:r w:rsidRPr="008F3885">
              <w:t>0</w:t>
            </w:r>
          </w:p>
        </w:tc>
        <w:tc>
          <w:tcPr>
            <w:tcW w:w="1400" w:type="dxa"/>
          </w:tcPr>
          <w:p w14:paraId="67236F57" w14:textId="77777777" w:rsidR="008F3885" w:rsidRPr="008F3885" w:rsidRDefault="008F3885" w:rsidP="008F3885">
            <w:pPr>
              <w:pBdr>
                <w:top w:val="nil"/>
                <w:left w:val="nil"/>
                <w:bottom w:val="nil"/>
                <w:right w:val="nil"/>
                <w:between w:val="nil"/>
              </w:pBdr>
              <w:spacing w:line="276" w:lineRule="auto"/>
              <w:jc w:val="both"/>
            </w:pPr>
            <w:r w:rsidRPr="008F3885">
              <w:t>1</w:t>
            </w:r>
          </w:p>
        </w:tc>
      </w:tr>
      <w:tr w:rsidR="008F3885" w:rsidRPr="008F3885" w14:paraId="786C7150" w14:textId="77777777" w:rsidTr="008F3885">
        <w:tc>
          <w:tcPr>
            <w:tcW w:w="3800" w:type="dxa"/>
          </w:tcPr>
          <w:p w14:paraId="41557591" w14:textId="77777777" w:rsidR="008F3885" w:rsidRPr="008F3885" w:rsidRDefault="008F3885" w:rsidP="008F3885">
            <w:pPr>
              <w:pBdr>
                <w:top w:val="nil"/>
                <w:left w:val="nil"/>
                <w:bottom w:val="nil"/>
                <w:right w:val="nil"/>
                <w:between w:val="nil"/>
              </w:pBdr>
              <w:spacing w:line="276" w:lineRule="auto"/>
              <w:jc w:val="both"/>
            </w:pPr>
            <w:r w:rsidRPr="008F3885">
              <w:rPr>
                <w:i/>
                <w:iCs/>
              </w:rPr>
              <w:t>Clostridium spp.</w:t>
            </w:r>
          </w:p>
        </w:tc>
        <w:tc>
          <w:tcPr>
            <w:tcW w:w="1400" w:type="dxa"/>
          </w:tcPr>
          <w:p w14:paraId="068C1944" w14:textId="77777777" w:rsidR="008F3885" w:rsidRPr="008F3885" w:rsidRDefault="008F3885" w:rsidP="008F3885">
            <w:pPr>
              <w:pBdr>
                <w:top w:val="nil"/>
                <w:left w:val="nil"/>
                <w:bottom w:val="nil"/>
                <w:right w:val="nil"/>
                <w:between w:val="nil"/>
              </w:pBdr>
              <w:spacing w:line="276" w:lineRule="auto"/>
              <w:jc w:val="both"/>
            </w:pPr>
            <w:r w:rsidRPr="008F3885">
              <w:t>0</w:t>
            </w:r>
          </w:p>
        </w:tc>
        <w:tc>
          <w:tcPr>
            <w:tcW w:w="1400" w:type="dxa"/>
          </w:tcPr>
          <w:p w14:paraId="47B1F429" w14:textId="77777777" w:rsidR="008F3885" w:rsidRPr="008F3885" w:rsidRDefault="008F3885" w:rsidP="008F3885">
            <w:pPr>
              <w:pBdr>
                <w:top w:val="nil"/>
                <w:left w:val="nil"/>
                <w:bottom w:val="nil"/>
                <w:right w:val="nil"/>
                <w:between w:val="nil"/>
              </w:pBdr>
              <w:spacing w:line="276" w:lineRule="auto"/>
              <w:jc w:val="both"/>
            </w:pPr>
            <w:r w:rsidRPr="008F3885">
              <w:t>2</w:t>
            </w:r>
          </w:p>
        </w:tc>
        <w:tc>
          <w:tcPr>
            <w:tcW w:w="1400" w:type="dxa"/>
          </w:tcPr>
          <w:p w14:paraId="10F0940D" w14:textId="77777777" w:rsidR="008F3885" w:rsidRPr="008F3885" w:rsidRDefault="008F3885" w:rsidP="008F3885">
            <w:pPr>
              <w:pBdr>
                <w:top w:val="nil"/>
                <w:left w:val="nil"/>
                <w:bottom w:val="nil"/>
                <w:right w:val="nil"/>
                <w:between w:val="nil"/>
              </w:pBdr>
              <w:spacing w:line="276" w:lineRule="auto"/>
              <w:jc w:val="both"/>
            </w:pPr>
            <w:r w:rsidRPr="008F3885">
              <w:t>5</w:t>
            </w:r>
          </w:p>
        </w:tc>
      </w:tr>
      <w:tr w:rsidR="008F3885" w:rsidRPr="008F3885" w14:paraId="68E7486C" w14:textId="77777777" w:rsidTr="008F3885">
        <w:tc>
          <w:tcPr>
            <w:tcW w:w="3800" w:type="dxa"/>
          </w:tcPr>
          <w:p w14:paraId="73440BE9" w14:textId="77777777" w:rsidR="008F3885" w:rsidRPr="008F3885" w:rsidRDefault="008F3885" w:rsidP="008F3885">
            <w:pPr>
              <w:pBdr>
                <w:top w:val="nil"/>
                <w:left w:val="nil"/>
                <w:bottom w:val="nil"/>
                <w:right w:val="nil"/>
                <w:between w:val="nil"/>
              </w:pBdr>
              <w:spacing w:line="276" w:lineRule="auto"/>
              <w:jc w:val="both"/>
            </w:pPr>
            <w:r w:rsidRPr="008F3885">
              <w:rPr>
                <w:i/>
                <w:iCs/>
              </w:rPr>
              <w:t>Proteus spp.</w:t>
            </w:r>
          </w:p>
        </w:tc>
        <w:tc>
          <w:tcPr>
            <w:tcW w:w="1400" w:type="dxa"/>
          </w:tcPr>
          <w:p w14:paraId="1489E19C" w14:textId="77777777" w:rsidR="008F3885" w:rsidRPr="008F3885" w:rsidRDefault="008F3885" w:rsidP="008F3885">
            <w:pPr>
              <w:pBdr>
                <w:top w:val="nil"/>
                <w:left w:val="nil"/>
                <w:bottom w:val="nil"/>
                <w:right w:val="nil"/>
                <w:between w:val="nil"/>
              </w:pBdr>
              <w:spacing w:line="276" w:lineRule="auto"/>
              <w:jc w:val="both"/>
            </w:pPr>
            <w:r w:rsidRPr="008F3885">
              <w:t>5</w:t>
            </w:r>
          </w:p>
        </w:tc>
        <w:tc>
          <w:tcPr>
            <w:tcW w:w="1400" w:type="dxa"/>
          </w:tcPr>
          <w:p w14:paraId="08A0C9CF" w14:textId="77777777" w:rsidR="008F3885" w:rsidRPr="008F3885" w:rsidRDefault="008F3885" w:rsidP="008F3885">
            <w:pPr>
              <w:pBdr>
                <w:top w:val="nil"/>
                <w:left w:val="nil"/>
                <w:bottom w:val="nil"/>
                <w:right w:val="nil"/>
                <w:between w:val="nil"/>
              </w:pBdr>
              <w:spacing w:line="276" w:lineRule="auto"/>
              <w:jc w:val="both"/>
            </w:pPr>
            <w:r w:rsidRPr="008F3885">
              <w:t>2</w:t>
            </w:r>
          </w:p>
        </w:tc>
        <w:tc>
          <w:tcPr>
            <w:tcW w:w="1400" w:type="dxa"/>
          </w:tcPr>
          <w:p w14:paraId="1B6ABD27" w14:textId="77777777" w:rsidR="008F3885" w:rsidRPr="008F3885" w:rsidRDefault="008F3885" w:rsidP="008F3885">
            <w:pPr>
              <w:pBdr>
                <w:top w:val="nil"/>
                <w:left w:val="nil"/>
                <w:bottom w:val="nil"/>
                <w:right w:val="nil"/>
                <w:between w:val="nil"/>
              </w:pBdr>
              <w:spacing w:line="276" w:lineRule="auto"/>
              <w:jc w:val="both"/>
            </w:pPr>
            <w:r w:rsidRPr="008F3885">
              <w:t>3</w:t>
            </w:r>
          </w:p>
        </w:tc>
      </w:tr>
      <w:tr w:rsidR="008F3885" w:rsidRPr="008F3885" w14:paraId="1CABDD10" w14:textId="77777777" w:rsidTr="008F3885">
        <w:tc>
          <w:tcPr>
            <w:tcW w:w="3800" w:type="dxa"/>
          </w:tcPr>
          <w:p w14:paraId="0BD24D7A" w14:textId="77777777" w:rsidR="008F3885" w:rsidRPr="008F3885" w:rsidRDefault="008F3885" w:rsidP="008F3885">
            <w:pPr>
              <w:pBdr>
                <w:top w:val="nil"/>
                <w:left w:val="nil"/>
                <w:bottom w:val="nil"/>
                <w:right w:val="nil"/>
                <w:between w:val="nil"/>
              </w:pBdr>
              <w:spacing w:line="276" w:lineRule="auto"/>
              <w:jc w:val="both"/>
            </w:pPr>
            <w:r w:rsidRPr="008F3885">
              <w:rPr>
                <w:i/>
                <w:iCs/>
              </w:rPr>
              <w:t>Klebsiella spp.</w:t>
            </w:r>
          </w:p>
        </w:tc>
        <w:tc>
          <w:tcPr>
            <w:tcW w:w="1400" w:type="dxa"/>
          </w:tcPr>
          <w:p w14:paraId="1DF2E690" w14:textId="77777777" w:rsidR="008F3885" w:rsidRPr="008F3885" w:rsidRDefault="008F3885" w:rsidP="008F3885">
            <w:pPr>
              <w:pBdr>
                <w:top w:val="nil"/>
                <w:left w:val="nil"/>
                <w:bottom w:val="nil"/>
                <w:right w:val="nil"/>
                <w:between w:val="nil"/>
              </w:pBdr>
              <w:spacing w:line="276" w:lineRule="auto"/>
              <w:jc w:val="both"/>
            </w:pPr>
            <w:r w:rsidRPr="008F3885">
              <w:t>5</w:t>
            </w:r>
          </w:p>
        </w:tc>
        <w:tc>
          <w:tcPr>
            <w:tcW w:w="1400" w:type="dxa"/>
          </w:tcPr>
          <w:p w14:paraId="0A83E05B" w14:textId="77777777" w:rsidR="008F3885" w:rsidRPr="008F3885" w:rsidRDefault="008F3885" w:rsidP="008F3885">
            <w:pPr>
              <w:pBdr>
                <w:top w:val="nil"/>
                <w:left w:val="nil"/>
                <w:bottom w:val="nil"/>
                <w:right w:val="nil"/>
                <w:between w:val="nil"/>
              </w:pBdr>
              <w:spacing w:line="276" w:lineRule="auto"/>
              <w:jc w:val="both"/>
            </w:pPr>
            <w:r w:rsidRPr="008F3885">
              <w:t>2</w:t>
            </w:r>
          </w:p>
        </w:tc>
        <w:tc>
          <w:tcPr>
            <w:tcW w:w="1400" w:type="dxa"/>
          </w:tcPr>
          <w:p w14:paraId="0042C5D3" w14:textId="77777777" w:rsidR="008F3885" w:rsidRPr="008F3885" w:rsidRDefault="008F3885" w:rsidP="008F3885">
            <w:pPr>
              <w:pBdr>
                <w:top w:val="nil"/>
                <w:left w:val="nil"/>
                <w:bottom w:val="nil"/>
                <w:right w:val="nil"/>
                <w:between w:val="nil"/>
              </w:pBdr>
              <w:spacing w:line="276" w:lineRule="auto"/>
              <w:jc w:val="both"/>
            </w:pPr>
            <w:r w:rsidRPr="008F3885">
              <w:t>1</w:t>
            </w:r>
          </w:p>
        </w:tc>
      </w:tr>
      <w:tr w:rsidR="008F3885" w:rsidRPr="008F3885" w14:paraId="759B51EF" w14:textId="77777777" w:rsidTr="008F3885">
        <w:tc>
          <w:tcPr>
            <w:tcW w:w="3800" w:type="dxa"/>
          </w:tcPr>
          <w:p w14:paraId="084C6524" w14:textId="77777777" w:rsidR="008F3885" w:rsidRPr="008F3885" w:rsidRDefault="008F3885" w:rsidP="008F3885">
            <w:pPr>
              <w:pBdr>
                <w:top w:val="nil"/>
                <w:left w:val="nil"/>
                <w:bottom w:val="nil"/>
                <w:right w:val="nil"/>
                <w:between w:val="nil"/>
              </w:pBdr>
              <w:spacing w:line="276" w:lineRule="auto"/>
              <w:jc w:val="both"/>
            </w:pPr>
            <w:r w:rsidRPr="008F3885">
              <w:rPr>
                <w:i/>
                <w:iCs/>
              </w:rPr>
              <w:t>Pseudomonas spp.</w:t>
            </w:r>
          </w:p>
        </w:tc>
        <w:tc>
          <w:tcPr>
            <w:tcW w:w="1400" w:type="dxa"/>
          </w:tcPr>
          <w:p w14:paraId="75D0CC06" w14:textId="77777777" w:rsidR="008F3885" w:rsidRPr="008F3885" w:rsidRDefault="008F3885" w:rsidP="008F3885">
            <w:pPr>
              <w:pBdr>
                <w:top w:val="nil"/>
                <w:left w:val="nil"/>
                <w:bottom w:val="nil"/>
                <w:right w:val="nil"/>
                <w:between w:val="nil"/>
              </w:pBdr>
              <w:spacing w:line="276" w:lineRule="auto"/>
              <w:jc w:val="both"/>
            </w:pPr>
            <w:r w:rsidRPr="008F3885">
              <w:t>4</w:t>
            </w:r>
          </w:p>
        </w:tc>
        <w:tc>
          <w:tcPr>
            <w:tcW w:w="1400" w:type="dxa"/>
          </w:tcPr>
          <w:p w14:paraId="662FF9FD" w14:textId="77777777" w:rsidR="008F3885" w:rsidRPr="008F3885" w:rsidRDefault="008F3885" w:rsidP="008F3885">
            <w:pPr>
              <w:pBdr>
                <w:top w:val="nil"/>
                <w:left w:val="nil"/>
                <w:bottom w:val="nil"/>
                <w:right w:val="nil"/>
                <w:between w:val="nil"/>
              </w:pBdr>
              <w:spacing w:line="276" w:lineRule="auto"/>
              <w:jc w:val="both"/>
            </w:pPr>
            <w:r w:rsidRPr="008F3885">
              <w:t>2</w:t>
            </w:r>
          </w:p>
        </w:tc>
        <w:tc>
          <w:tcPr>
            <w:tcW w:w="1400" w:type="dxa"/>
          </w:tcPr>
          <w:p w14:paraId="599649D5" w14:textId="77777777" w:rsidR="008F3885" w:rsidRPr="008F3885" w:rsidRDefault="008F3885" w:rsidP="008F3885">
            <w:pPr>
              <w:pBdr>
                <w:top w:val="nil"/>
                <w:left w:val="nil"/>
                <w:bottom w:val="nil"/>
                <w:right w:val="nil"/>
                <w:between w:val="nil"/>
              </w:pBdr>
              <w:spacing w:line="276" w:lineRule="auto"/>
              <w:jc w:val="both"/>
            </w:pPr>
            <w:r w:rsidRPr="008F3885">
              <w:t>2</w:t>
            </w:r>
          </w:p>
        </w:tc>
      </w:tr>
      <w:tr w:rsidR="008F3885" w:rsidRPr="008F3885" w14:paraId="1722066B" w14:textId="77777777" w:rsidTr="008F3885">
        <w:tc>
          <w:tcPr>
            <w:tcW w:w="3800" w:type="dxa"/>
          </w:tcPr>
          <w:p w14:paraId="62A32AB1" w14:textId="77777777" w:rsidR="008F3885" w:rsidRPr="008F3885" w:rsidRDefault="008F3885" w:rsidP="008F3885">
            <w:pPr>
              <w:pBdr>
                <w:top w:val="nil"/>
                <w:left w:val="nil"/>
                <w:bottom w:val="nil"/>
                <w:right w:val="nil"/>
                <w:between w:val="nil"/>
              </w:pBdr>
              <w:spacing w:line="276" w:lineRule="auto"/>
              <w:jc w:val="both"/>
            </w:pPr>
            <w:r w:rsidRPr="008F3885">
              <w:rPr>
                <w:i/>
                <w:iCs/>
              </w:rPr>
              <w:t>Escherichia coli</w:t>
            </w:r>
          </w:p>
        </w:tc>
        <w:tc>
          <w:tcPr>
            <w:tcW w:w="1400" w:type="dxa"/>
          </w:tcPr>
          <w:p w14:paraId="28A9C5A8" w14:textId="77777777" w:rsidR="008F3885" w:rsidRPr="008F3885" w:rsidRDefault="008F3885" w:rsidP="008F3885">
            <w:pPr>
              <w:pBdr>
                <w:top w:val="nil"/>
                <w:left w:val="nil"/>
                <w:bottom w:val="nil"/>
                <w:right w:val="nil"/>
                <w:between w:val="nil"/>
              </w:pBdr>
              <w:spacing w:line="276" w:lineRule="auto"/>
              <w:jc w:val="both"/>
            </w:pPr>
            <w:r w:rsidRPr="008F3885">
              <w:t>3</w:t>
            </w:r>
          </w:p>
        </w:tc>
        <w:tc>
          <w:tcPr>
            <w:tcW w:w="1400" w:type="dxa"/>
          </w:tcPr>
          <w:p w14:paraId="14109374" w14:textId="77777777" w:rsidR="008F3885" w:rsidRPr="008F3885" w:rsidRDefault="008F3885" w:rsidP="008F3885">
            <w:pPr>
              <w:pBdr>
                <w:top w:val="nil"/>
                <w:left w:val="nil"/>
                <w:bottom w:val="nil"/>
                <w:right w:val="nil"/>
                <w:between w:val="nil"/>
              </w:pBdr>
              <w:spacing w:line="276" w:lineRule="auto"/>
              <w:jc w:val="both"/>
            </w:pPr>
            <w:r w:rsidRPr="008F3885">
              <w:t>1</w:t>
            </w:r>
          </w:p>
        </w:tc>
        <w:tc>
          <w:tcPr>
            <w:tcW w:w="1400" w:type="dxa"/>
          </w:tcPr>
          <w:p w14:paraId="5AF57F50" w14:textId="77777777" w:rsidR="008F3885" w:rsidRPr="008F3885" w:rsidRDefault="008F3885" w:rsidP="008F3885">
            <w:pPr>
              <w:pBdr>
                <w:top w:val="nil"/>
                <w:left w:val="nil"/>
                <w:bottom w:val="nil"/>
                <w:right w:val="nil"/>
                <w:between w:val="nil"/>
              </w:pBdr>
              <w:spacing w:line="276" w:lineRule="auto"/>
              <w:jc w:val="both"/>
            </w:pPr>
            <w:r w:rsidRPr="008F3885">
              <w:t>0</w:t>
            </w:r>
          </w:p>
        </w:tc>
      </w:tr>
      <w:tr w:rsidR="008F3885" w:rsidRPr="008F3885" w14:paraId="7810791A" w14:textId="77777777" w:rsidTr="008F3885">
        <w:tc>
          <w:tcPr>
            <w:tcW w:w="3800" w:type="dxa"/>
          </w:tcPr>
          <w:p w14:paraId="0F5CEEFF" w14:textId="77777777" w:rsidR="008F3885" w:rsidRPr="008F3885" w:rsidRDefault="008F3885" w:rsidP="008F3885">
            <w:pPr>
              <w:pBdr>
                <w:top w:val="nil"/>
                <w:left w:val="nil"/>
                <w:bottom w:val="nil"/>
                <w:right w:val="nil"/>
                <w:between w:val="nil"/>
              </w:pBdr>
              <w:spacing w:line="276" w:lineRule="auto"/>
              <w:jc w:val="both"/>
            </w:pPr>
            <w:r w:rsidRPr="008F3885">
              <w:rPr>
                <w:i/>
                <w:iCs/>
              </w:rPr>
              <w:t>Aeromonas spp.</w:t>
            </w:r>
          </w:p>
        </w:tc>
        <w:tc>
          <w:tcPr>
            <w:tcW w:w="1400" w:type="dxa"/>
          </w:tcPr>
          <w:p w14:paraId="7B4961FB" w14:textId="77777777" w:rsidR="008F3885" w:rsidRPr="008F3885" w:rsidRDefault="008F3885" w:rsidP="008F3885">
            <w:pPr>
              <w:pBdr>
                <w:top w:val="nil"/>
                <w:left w:val="nil"/>
                <w:bottom w:val="nil"/>
                <w:right w:val="nil"/>
                <w:between w:val="nil"/>
              </w:pBdr>
              <w:spacing w:line="276" w:lineRule="auto"/>
              <w:jc w:val="both"/>
            </w:pPr>
            <w:r w:rsidRPr="008F3885">
              <w:t>2</w:t>
            </w:r>
          </w:p>
        </w:tc>
        <w:tc>
          <w:tcPr>
            <w:tcW w:w="1400" w:type="dxa"/>
          </w:tcPr>
          <w:p w14:paraId="4940E6F9" w14:textId="77777777" w:rsidR="008F3885" w:rsidRPr="008F3885" w:rsidRDefault="008F3885" w:rsidP="008F3885">
            <w:pPr>
              <w:pBdr>
                <w:top w:val="nil"/>
                <w:left w:val="nil"/>
                <w:bottom w:val="nil"/>
                <w:right w:val="nil"/>
                <w:between w:val="nil"/>
              </w:pBdr>
              <w:spacing w:line="276" w:lineRule="auto"/>
              <w:jc w:val="both"/>
            </w:pPr>
            <w:r w:rsidRPr="008F3885">
              <w:t>0</w:t>
            </w:r>
          </w:p>
        </w:tc>
        <w:tc>
          <w:tcPr>
            <w:tcW w:w="1400" w:type="dxa"/>
          </w:tcPr>
          <w:p w14:paraId="59E9C3FC" w14:textId="77777777" w:rsidR="008F3885" w:rsidRPr="008F3885" w:rsidRDefault="008F3885" w:rsidP="008F3885">
            <w:pPr>
              <w:pBdr>
                <w:top w:val="nil"/>
                <w:left w:val="nil"/>
                <w:bottom w:val="nil"/>
                <w:right w:val="nil"/>
                <w:between w:val="nil"/>
              </w:pBdr>
              <w:spacing w:line="276" w:lineRule="auto"/>
              <w:jc w:val="both"/>
            </w:pPr>
            <w:r w:rsidRPr="008F3885">
              <w:t>0</w:t>
            </w:r>
          </w:p>
        </w:tc>
      </w:tr>
      <w:tr w:rsidR="008F3885" w:rsidRPr="008F3885" w14:paraId="2CD1300B" w14:textId="77777777" w:rsidTr="008F3885">
        <w:tc>
          <w:tcPr>
            <w:tcW w:w="3800" w:type="dxa"/>
          </w:tcPr>
          <w:p w14:paraId="2B02E37E" w14:textId="77777777" w:rsidR="008F3885" w:rsidRPr="008F3885" w:rsidRDefault="008F3885" w:rsidP="008F3885">
            <w:pPr>
              <w:pBdr>
                <w:top w:val="nil"/>
                <w:left w:val="nil"/>
                <w:bottom w:val="nil"/>
                <w:right w:val="nil"/>
                <w:between w:val="nil"/>
              </w:pBdr>
              <w:spacing w:line="276" w:lineRule="auto"/>
              <w:jc w:val="both"/>
            </w:pPr>
            <w:r w:rsidRPr="008F3885">
              <w:rPr>
                <w:i/>
                <w:iCs/>
              </w:rPr>
              <w:t>Bacteroides spp.</w:t>
            </w:r>
          </w:p>
        </w:tc>
        <w:tc>
          <w:tcPr>
            <w:tcW w:w="1400" w:type="dxa"/>
          </w:tcPr>
          <w:p w14:paraId="28DE14CB" w14:textId="77777777" w:rsidR="008F3885" w:rsidRPr="008F3885" w:rsidRDefault="008F3885" w:rsidP="008F3885">
            <w:pPr>
              <w:pBdr>
                <w:top w:val="nil"/>
                <w:left w:val="nil"/>
                <w:bottom w:val="nil"/>
                <w:right w:val="nil"/>
                <w:between w:val="nil"/>
              </w:pBdr>
              <w:spacing w:line="276" w:lineRule="auto"/>
              <w:jc w:val="both"/>
            </w:pPr>
            <w:r w:rsidRPr="008F3885">
              <w:t>0</w:t>
            </w:r>
          </w:p>
        </w:tc>
        <w:tc>
          <w:tcPr>
            <w:tcW w:w="1400" w:type="dxa"/>
          </w:tcPr>
          <w:p w14:paraId="6AD0762D" w14:textId="77777777" w:rsidR="008F3885" w:rsidRPr="008F3885" w:rsidRDefault="008F3885" w:rsidP="008F3885">
            <w:pPr>
              <w:pBdr>
                <w:top w:val="nil"/>
                <w:left w:val="nil"/>
                <w:bottom w:val="nil"/>
                <w:right w:val="nil"/>
                <w:between w:val="nil"/>
              </w:pBdr>
              <w:spacing w:line="276" w:lineRule="auto"/>
              <w:jc w:val="both"/>
            </w:pPr>
            <w:r w:rsidRPr="008F3885">
              <w:t>4</w:t>
            </w:r>
          </w:p>
        </w:tc>
        <w:tc>
          <w:tcPr>
            <w:tcW w:w="1400" w:type="dxa"/>
          </w:tcPr>
          <w:p w14:paraId="5A5292A8" w14:textId="77777777" w:rsidR="008F3885" w:rsidRPr="008F3885" w:rsidRDefault="008F3885" w:rsidP="008F3885">
            <w:pPr>
              <w:pBdr>
                <w:top w:val="nil"/>
                <w:left w:val="nil"/>
                <w:bottom w:val="nil"/>
                <w:right w:val="nil"/>
                <w:between w:val="nil"/>
              </w:pBdr>
              <w:spacing w:line="276" w:lineRule="auto"/>
              <w:jc w:val="both"/>
            </w:pPr>
            <w:r w:rsidRPr="008F3885">
              <w:t>5</w:t>
            </w:r>
          </w:p>
        </w:tc>
      </w:tr>
      <w:tr w:rsidR="008F3885" w:rsidRPr="008F3885" w14:paraId="0E51916E" w14:textId="77777777" w:rsidTr="008F3885">
        <w:tc>
          <w:tcPr>
            <w:tcW w:w="3800" w:type="dxa"/>
          </w:tcPr>
          <w:p w14:paraId="702CD6E2" w14:textId="77777777" w:rsidR="008F3885" w:rsidRPr="008F3885" w:rsidRDefault="008F3885" w:rsidP="008F3885">
            <w:pPr>
              <w:pBdr>
                <w:top w:val="nil"/>
                <w:left w:val="nil"/>
                <w:bottom w:val="nil"/>
                <w:right w:val="nil"/>
                <w:between w:val="nil"/>
              </w:pBdr>
              <w:spacing w:line="276" w:lineRule="auto"/>
              <w:jc w:val="both"/>
            </w:pPr>
            <w:r w:rsidRPr="008F3885">
              <w:rPr>
                <w:i/>
                <w:iCs/>
              </w:rPr>
              <w:lastRenderedPageBreak/>
              <w:t>Fusobacterium spp.</w:t>
            </w:r>
          </w:p>
        </w:tc>
        <w:tc>
          <w:tcPr>
            <w:tcW w:w="1400" w:type="dxa"/>
          </w:tcPr>
          <w:p w14:paraId="033C817C" w14:textId="77777777" w:rsidR="008F3885" w:rsidRPr="008F3885" w:rsidRDefault="008F3885" w:rsidP="008F3885">
            <w:pPr>
              <w:pBdr>
                <w:top w:val="nil"/>
                <w:left w:val="nil"/>
                <w:bottom w:val="nil"/>
                <w:right w:val="nil"/>
                <w:between w:val="nil"/>
              </w:pBdr>
              <w:spacing w:line="276" w:lineRule="auto"/>
              <w:jc w:val="both"/>
            </w:pPr>
            <w:r w:rsidRPr="008F3885">
              <w:t>0</w:t>
            </w:r>
          </w:p>
        </w:tc>
        <w:tc>
          <w:tcPr>
            <w:tcW w:w="1400" w:type="dxa"/>
          </w:tcPr>
          <w:p w14:paraId="43401C62" w14:textId="77777777" w:rsidR="008F3885" w:rsidRPr="008F3885" w:rsidRDefault="008F3885" w:rsidP="008F3885">
            <w:pPr>
              <w:pBdr>
                <w:top w:val="nil"/>
                <w:left w:val="nil"/>
                <w:bottom w:val="nil"/>
                <w:right w:val="nil"/>
                <w:between w:val="nil"/>
              </w:pBdr>
              <w:spacing w:line="276" w:lineRule="auto"/>
              <w:jc w:val="both"/>
            </w:pPr>
            <w:r w:rsidRPr="008F3885">
              <w:t>2</w:t>
            </w:r>
          </w:p>
        </w:tc>
        <w:tc>
          <w:tcPr>
            <w:tcW w:w="1400" w:type="dxa"/>
          </w:tcPr>
          <w:p w14:paraId="0D8DA723" w14:textId="77777777" w:rsidR="008F3885" w:rsidRPr="008F3885" w:rsidRDefault="008F3885" w:rsidP="008F3885">
            <w:pPr>
              <w:pBdr>
                <w:top w:val="nil"/>
                <w:left w:val="nil"/>
                <w:bottom w:val="nil"/>
                <w:right w:val="nil"/>
                <w:between w:val="nil"/>
              </w:pBdr>
              <w:spacing w:line="276" w:lineRule="auto"/>
              <w:jc w:val="both"/>
            </w:pPr>
            <w:r w:rsidRPr="008F3885">
              <w:t>0</w:t>
            </w:r>
          </w:p>
        </w:tc>
      </w:tr>
      <w:tr w:rsidR="008F3885" w:rsidRPr="008F3885" w14:paraId="6FF44EED" w14:textId="77777777" w:rsidTr="008F3885">
        <w:tc>
          <w:tcPr>
            <w:tcW w:w="3800" w:type="dxa"/>
          </w:tcPr>
          <w:p w14:paraId="6A44E6C6" w14:textId="77777777" w:rsidR="008F3885" w:rsidRPr="008F3885" w:rsidRDefault="008F3885" w:rsidP="008F3885">
            <w:pPr>
              <w:pBdr>
                <w:top w:val="nil"/>
                <w:left w:val="nil"/>
                <w:bottom w:val="nil"/>
                <w:right w:val="nil"/>
                <w:between w:val="nil"/>
              </w:pBdr>
              <w:spacing w:line="276" w:lineRule="auto"/>
              <w:jc w:val="both"/>
            </w:pPr>
            <w:r w:rsidRPr="008F3885">
              <w:rPr>
                <w:i/>
                <w:iCs/>
              </w:rPr>
              <w:t>Total</w:t>
            </w:r>
          </w:p>
        </w:tc>
        <w:tc>
          <w:tcPr>
            <w:tcW w:w="1400" w:type="dxa"/>
          </w:tcPr>
          <w:p w14:paraId="70563482" w14:textId="77777777" w:rsidR="008F3885" w:rsidRPr="008F3885" w:rsidRDefault="008F3885" w:rsidP="008F3885">
            <w:pPr>
              <w:pBdr>
                <w:top w:val="nil"/>
                <w:left w:val="nil"/>
                <w:bottom w:val="nil"/>
                <w:right w:val="nil"/>
                <w:between w:val="nil"/>
              </w:pBdr>
              <w:spacing w:line="276" w:lineRule="auto"/>
              <w:jc w:val="both"/>
            </w:pPr>
            <w:r w:rsidRPr="008F3885">
              <w:t>50</w:t>
            </w:r>
          </w:p>
        </w:tc>
        <w:tc>
          <w:tcPr>
            <w:tcW w:w="1400" w:type="dxa"/>
          </w:tcPr>
          <w:p w14:paraId="362965B9" w14:textId="77777777" w:rsidR="008F3885" w:rsidRPr="008F3885" w:rsidRDefault="008F3885" w:rsidP="008F3885">
            <w:pPr>
              <w:pBdr>
                <w:top w:val="nil"/>
                <w:left w:val="nil"/>
                <w:bottom w:val="nil"/>
                <w:right w:val="nil"/>
                <w:between w:val="nil"/>
              </w:pBdr>
              <w:spacing w:line="276" w:lineRule="auto"/>
              <w:jc w:val="both"/>
            </w:pPr>
            <w:r w:rsidRPr="008F3885">
              <w:t>25</w:t>
            </w:r>
          </w:p>
        </w:tc>
        <w:tc>
          <w:tcPr>
            <w:tcW w:w="1400" w:type="dxa"/>
          </w:tcPr>
          <w:p w14:paraId="6D3045D8" w14:textId="77777777" w:rsidR="008F3885" w:rsidRPr="008F3885" w:rsidRDefault="008F3885" w:rsidP="008F3885">
            <w:pPr>
              <w:pBdr>
                <w:top w:val="nil"/>
                <w:left w:val="nil"/>
                <w:bottom w:val="nil"/>
                <w:right w:val="nil"/>
                <w:between w:val="nil"/>
              </w:pBdr>
              <w:spacing w:line="276" w:lineRule="auto"/>
              <w:jc w:val="both"/>
            </w:pPr>
            <w:r w:rsidRPr="008F3885">
              <w:t>23</w:t>
            </w:r>
          </w:p>
        </w:tc>
      </w:tr>
    </w:tbl>
    <w:p w14:paraId="190FD117" w14:textId="77777777" w:rsidR="008F3885" w:rsidRDefault="008F3885" w:rsidP="008F3885">
      <w:pPr>
        <w:pBdr>
          <w:top w:val="nil"/>
          <w:left w:val="nil"/>
          <w:bottom w:val="nil"/>
          <w:right w:val="nil"/>
          <w:between w:val="nil"/>
        </w:pBdr>
        <w:spacing w:line="276" w:lineRule="auto"/>
        <w:rPr>
          <w:b/>
          <w:bCs/>
        </w:rPr>
      </w:pPr>
    </w:p>
    <w:p w14:paraId="0A84C3D3" w14:textId="30932C1B" w:rsidR="008F3885" w:rsidRPr="008F3885" w:rsidRDefault="008F3885" w:rsidP="008F3885">
      <w:pPr>
        <w:pBdr>
          <w:top w:val="nil"/>
          <w:left w:val="nil"/>
          <w:bottom w:val="nil"/>
          <w:right w:val="nil"/>
          <w:between w:val="nil"/>
        </w:pBdr>
        <w:spacing w:line="276" w:lineRule="auto"/>
      </w:pPr>
      <w:r w:rsidRPr="008F3885">
        <w:rPr>
          <w:b/>
          <w:bCs/>
        </w:rPr>
        <w:t>Cultural Examination</w:t>
      </w:r>
    </w:p>
    <w:p w14:paraId="22593485" w14:textId="77777777" w:rsidR="008F3885" w:rsidRPr="008F3885" w:rsidRDefault="008F3885" w:rsidP="008F3885">
      <w:pPr>
        <w:pBdr>
          <w:top w:val="nil"/>
          <w:left w:val="nil"/>
          <w:bottom w:val="nil"/>
          <w:right w:val="nil"/>
          <w:between w:val="nil"/>
        </w:pBdr>
        <w:spacing w:line="276" w:lineRule="auto"/>
        <w:ind w:firstLine="567"/>
      </w:pPr>
      <w:r w:rsidRPr="008F3885">
        <w:t xml:space="preserve">The results of cultural examination of bacterial colonies showed bacterial colonies of </w:t>
      </w:r>
      <w:r w:rsidRPr="008F3885">
        <w:rPr>
          <w:i/>
          <w:iCs/>
        </w:rPr>
        <w:t>Enterococcus</w:t>
      </w:r>
      <w:r w:rsidRPr="008F3885">
        <w:t xml:space="preserve"> spp. on blood agar presented small to medium, circular, smooth, greyish white colonies, showing mainly non-hemolytic (γ-hemolysis) activity with occasional weak α-hemolysis; on brain heart infusion agar, the isolates showed good growth with smooth, circular, slightly moist colonies that appeared creamy white to pale grey (Figure 1).</w:t>
      </w:r>
    </w:p>
    <w:p w14:paraId="53409500" w14:textId="1AC7A36D" w:rsidR="008F3885" w:rsidRPr="008F3885" w:rsidRDefault="008F3885" w:rsidP="008F3885">
      <w:pPr>
        <w:pBdr>
          <w:top w:val="nil"/>
          <w:left w:val="nil"/>
          <w:bottom w:val="nil"/>
          <w:right w:val="nil"/>
          <w:between w:val="nil"/>
        </w:pBdr>
        <w:spacing w:line="276" w:lineRule="auto"/>
        <w:jc w:val="center"/>
      </w:pPr>
      <w:r w:rsidRPr="008F3885">
        <w:drawing>
          <wp:inline distT="0" distB="0" distL="0" distR="0" wp14:anchorId="7BDE62A7" wp14:editId="1D7B8DEA">
            <wp:extent cx="1905000" cy="2571750"/>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1905000" cy="2571750"/>
                    </a:xfrm>
                    <a:prstGeom prst="rect">
                      <a:avLst/>
                    </a:prstGeom>
                    <a:ln/>
                  </pic:spPr>
                </pic:pic>
              </a:graphicData>
            </a:graphic>
          </wp:inline>
        </w:drawing>
      </w:r>
      <w:r w:rsidRPr="008F3885">
        <w:drawing>
          <wp:inline distT="0" distB="0" distL="0" distR="0" wp14:anchorId="28001D8E" wp14:editId="277A985E">
            <wp:extent cx="1905000" cy="257175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905000" cy="2571750"/>
                    </a:xfrm>
                    <a:prstGeom prst="rect">
                      <a:avLst/>
                    </a:prstGeom>
                    <a:ln/>
                  </pic:spPr>
                </pic:pic>
              </a:graphicData>
            </a:graphic>
          </wp:inline>
        </w:drawing>
      </w:r>
    </w:p>
    <w:p w14:paraId="6FA1142A" w14:textId="77D545B1" w:rsidR="008F3885" w:rsidRPr="008F3885" w:rsidRDefault="008F3885" w:rsidP="008F3885">
      <w:pPr>
        <w:pBdr>
          <w:top w:val="nil"/>
          <w:left w:val="nil"/>
          <w:bottom w:val="nil"/>
          <w:right w:val="nil"/>
          <w:between w:val="nil"/>
        </w:pBdr>
        <w:spacing w:line="276" w:lineRule="auto"/>
        <w:jc w:val="center"/>
      </w:pPr>
      <w:r w:rsidRPr="008F3885">
        <w:drawing>
          <wp:inline distT="0" distB="0" distL="0" distR="0" wp14:anchorId="25342870" wp14:editId="5D0025CE">
            <wp:extent cx="1905000" cy="2400300"/>
            <wp:effectExtent l="0" t="0" r="0" b="0"/>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1905000" cy="2400300"/>
                    </a:xfrm>
                    <a:prstGeom prst="rect">
                      <a:avLst/>
                    </a:prstGeom>
                    <a:ln/>
                  </pic:spPr>
                </pic:pic>
              </a:graphicData>
            </a:graphic>
          </wp:inline>
        </w:drawing>
      </w:r>
      <w:r w:rsidRPr="008F3885">
        <w:drawing>
          <wp:inline distT="0" distB="0" distL="0" distR="0" wp14:anchorId="69B736DC" wp14:editId="34C08CC2">
            <wp:extent cx="1905000" cy="24003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905000" cy="2400300"/>
                    </a:xfrm>
                    <a:prstGeom prst="rect">
                      <a:avLst/>
                    </a:prstGeom>
                    <a:ln/>
                  </pic:spPr>
                </pic:pic>
              </a:graphicData>
            </a:graphic>
          </wp:inline>
        </w:drawing>
      </w:r>
    </w:p>
    <w:p w14:paraId="118F7011" w14:textId="020224DC" w:rsidR="008F3885" w:rsidRDefault="008F3885" w:rsidP="008F3885">
      <w:pPr>
        <w:pBdr>
          <w:top w:val="nil"/>
          <w:left w:val="nil"/>
          <w:bottom w:val="nil"/>
          <w:right w:val="nil"/>
          <w:between w:val="nil"/>
        </w:pBdr>
        <w:spacing w:line="276" w:lineRule="auto"/>
        <w:jc w:val="center"/>
      </w:pPr>
      <w:r w:rsidRPr="008F3885">
        <w:rPr>
          <w:b/>
          <w:bCs/>
        </w:rPr>
        <w:t>Figure 1</w:t>
      </w:r>
      <w:r w:rsidRPr="008F3885">
        <w:rPr>
          <w:b/>
          <w:bCs/>
        </w:rPr>
        <w:t xml:space="preserve">. </w:t>
      </w:r>
      <w:r w:rsidRPr="008F3885">
        <w:t>Appearance of A: Enterococcus faecalis, B: Enterococcus lactis on different agar.</w:t>
      </w:r>
    </w:p>
    <w:p w14:paraId="274CBD00" w14:textId="77777777" w:rsidR="008F3885" w:rsidRPr="008F3885" w:rsidRDefault="008F3885" w:rsidP="008F3885">
      <w:pPr>
        <w:pBdr>
          <w:top w:val="nil"/>
          <w:left w:val="nil"/>
          <w:bottom w:val="nil"/>
          <w:right w:val="nil"/>
          <w:between w:val="nil"/>
        </w:pBdr>
        <w:spacing w:line="276" w:lineRule="auto"/>
        <w:jc w:val="center"/>
      </w:pPr>
    </w:p>
    <w:p w14:paraId="46CB09BA" w14:textId="45FB81DE" w:rsidR="008F3885" w:rsidRPr="008F3885" w:rsidRDefault="008F3885" w:rsidP="008F3885">
      <w:pPr>
        <w:pBdr>
          <w:top w:val="nil"/>
          <w:left w:val="nil"/>
          <w:bottom w:val="nil"/>
          <w:right w:val="nil"/>
          <w:between w:val="nil"/>
        </w:pBdr>
        <w:spacing w:line="276" w:lineRule="auto"/>
        <w:ind w:firstLine="567"/>
      </w:pPr>
      <w:r w:rsidRPr="008F3885">
        <w:rPr>
          <w:b/>
          <w:bCs/>
        </w:rPr>
        <w:t>Microscopic Examination</w:t>
      </w:r>
    </w:p>
    <w:p w14:paraId="7640FE55" w14:textId="77777777" w:rsidR="008F3885" w:rsidRPr="008F3885" w:rsidRDefault="008F3885" w:rsidP="008F3885">
      <w:pPr>
        <w:pBdr>
          <w:top w:val="nil"/>
          <w:left w:val="nil"/>
          <w:bottom w:val="nil"/>
          <w:right w:val="nil"/>
          <w:between w:val="nil"/>
        </w:pBdr>
        <w:spacing w:line="276" w:lineRule="auto"/>
        <w:ind w:firstLine="567"/>
      </w:pPr>
      <w:r w:rsidRPr="008F3885">
        <w:t xml:space="preserve">The </w:t>
      </w:r>
      <w:r w:rsidRPr="008F3885">
        <w:rPr>
          <w:i/>
          <w:iCs/>
        </w:rPr>
        <w:t>E. faecalis</w:t>
      </w:r>
      <w:r w:rsidRPr="008F3885">
        <w:t xml:space="preserve"> and </w:t>
      </w:r>
      <w:r w:rsidRPr="008F3885">
        <w:rPr>
          <w:i/>
          <w:iCs/>
        </w:rPr>
        <w:t>E. lactis</w:t>
      </w:r>
      <w:r w:rsidRPr="008F3885">
        <w:t xml:space="preserve"> are Gram-positive cocci bacteria, as shown in Figure 2.</w:t>
      </w:r>
    </w:p>
    <w:p w14:paraId="3669F3F2" w14:textId="5CB1FC76" w:rsidR="008F3885" w:rsidRPr="008F3885" w:rsidRDefault="008F3885" w:rsidP="008F3885">
      <w:pPr>
        <w:pBdr>
          <w:top w:val="nil"/>
          <w:left w:val="nil"/>
          <w:bottom w:val="nil"/>
          <w:right w:val="nil"/>
          <w:between w:val="nil"/>
        </w:pBdr>
        <w:spacing w:line="276" w:lineRule="auto"/>
        <w:ind w:firstLine="567"/>
        <w:jc w:val="center"/>
      </w:pPr>
      <w:r w:rsidRPr="008F3885">
        <w:drawing>
          <wp:inline distT="0" distB="0" distL="0" distR="0" wp14:anchorId="59E4CB76" wp14:editId="395E57AB">
            <wp:extent cx="2238375" cy="125730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238375" cy="1257300"/>
                    </a:xfrm>
                    <a:prstGeom prst="rect">
                      <a:avLst/>
                    </a:prstGeom>
                    <a:ln/>
                  </pic:spPr>
                </pic:pic>
              </a:graphicData>
            </a:graphic>
          </wp:inline>
        </w:drawing>
      </w:r>
      <w:r w:rsidRPr="008F3885">
        <w:drawing>
          <wp:inline distT="0" distB="0" distL="0" distR="0" wp14:anchorId="735600E0" wp14:editId="456C95B3">
            <wp:extent cx="2238375" cy="1257300"/>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238375" cy="1257300"/>
                    </a:xfrm>
                    <a:prstGeom prst="rect">
                      <a:avLst/>
                    </a:prstGeom>
                    <a:ln/>
                  </pic:spPr>
                </pic:pic>
              </a:graphicData>
            </a:graphic>
          </wp:inline>
        </w:drawing>
      </w:r>
    </w:p>
    <w:p w14:paraId="19C06881" w14:textId="5988F4F6" w:rsidR="008F3885" w:rsidRPr="008F3885" w:rsidRDefault="008F3885" w:rsidP="008F3885">
      <w:pPr>
        <w:pBdr>
          <w:top w:val="nil"/>
          <w:left w:val="nil"/>
          <w:bottom w:val="nil"/>
          <w:right w:val="nil"/>
          <w:between w:val="nil"/>
        </w:pBdr>
        <w:spacing w:line="276" w:lineRule="auto"/>
        <w:ind w:firstLine="567"/>
        <w:jc w:val="center"/>
      </w:pPr>
      <w:r w:rsidRPr="008F3885">
        <w:rPr>
          <w:b/>
          <w:bCs/>
        </w:rPr>
        <w:t>Figure 2</w:t>
      </w:r>
      <w:r w:rsidRPr="008F3885">
        <w:rPr>
          <w:b/>
          <w:bCs/>
        </w:rPr>
        <w:t>.</w:t>
      </w:r>
      <w:r>
        <w:t xml:space="preserve"> </w:t>
      </w:r>
      <w:r w:rsidRPr="008F3885">
        <w:t>Microscopic examination for A: Enterococcus faecalis, B: Enterococcus lactis.</w:t>
      </w:r>
    </w:p>
    <w:p w14:paraId="0575CB53" w14:textId="762A65C5" w:rsidR="008F3885" w:rsidRPr="008F3885" w:rsidRDefault="008F3885" w:rsidP="008F3885">
      <w:pPr>
        <w:pBdr>
          <w:top w:val="nil"/>
          <w:left w:val="nil"/>
          <w:bottom w:val="nil"/>
          <w:right w:val="nil"/>
          <w:between w:val="nil"/>
        </w:pBdr>
        <w:spacing w:line="276" w:lineRule="auto"/>
      </w:pPr>
      <w:r w:rsidRPr="008F3885">
        <w:rPr>
          <w:b/>
          <w:bCs/>
        </w:rPr>
        <w:lastRenderedPageBreak/>
        <w:t>Antimicrobial Susceptibility</w:t>
      </w:r>
    </w:p>
    <w:p w14:paraId="1305D3F2" w14:textId="77777777" w:rsidR="008F3885" w:rsidRPr="008F3885" w:rsidRDefault="008F3885" w:rsidP="008F3885">
      <w:pPr>
        <w:pBdr>
          <w:top w:val="nil"/>
          <w:left w:val="nil"/>
          <w:bottom w:val="nil"/>
          <w:right w:val="nil"/>
          <w:between w:val="nil"/>
        </w:pBdr>
        <w:spacing w:line="276" w:lineRule="auto"/>
        <w:ind w:firstLine="567"/>
      </w:pPr>
      <w:r w:rsidRPr="008F3885">
        <w:t xml:space="preserve">The antimicrobial susceptibility profile of </w:t>
      </w:r>
      <w:r w:rsidRPr="008F3885">
        <w:rPr>
          <w:i/>
          <w:iCs/>
        </w:rPr>
        <w:t>Enterococcus faecalis</w:t>
      </w:r>
      <w:r w:rsidRPr="008F3885">
        <w:t xml:space="preserve"> and </w:t>
      </w:r>
      <w:r w:rsidRPr="008F3885">
        <w:rPr>
          <w:i/>
          <w:iCs/>
        </w:rPr>
        <w:t>Enterococcus lactis</w:t>
      </w:r>
      <w:r w:rsidRPr="008F3885">
        <w:t xml:space="preserve"> isolates demonstrated resistance to ampicillin, clarithromycin, vancomycin, linezolid, tobramycin, erythromycin, levofloxacin, clindamycin, doxycycline and imipenem (Figure 3).</w:t>
      </w:r>
    </w:p>
    <w:p w14:paraId="61A0A582" w14:textId="538F1FB1" w:rsidR="008F3885" w:rsidRPr="008F3885" w:rsidRDefault="008F3885" w:rsidP="008F3885">
      <w:pPr>
        <w:pBdr>
          <w:top w:val="nil"/>
          <w:left w:val="nil"/>
          <w:bottom w:val="nil"/>
          <w:right w:val="nil"/>
          <w:between w:val="nil"/>
        </w:pBdr>
        <w:spacing w:line="276" w:lineRule="auto"/>
        <w:jc w:val="center"/>
      </w:pPr>
      <w:r w:rsidRPr="008F3885">
        <w:drawing>
          <wp:inline distT="0" distB="0" distL="0" distR="0" wp14:anchorId="71B7C579" wp14:editId="321F9DCE">
            <wp:extent cx="2143125" cy="2047875"/>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2143125" cy="2047875"/>
                    </a:xfrm>
                    <a:prstGeom prst="rect">
                      <a:avLst/>
                    </a:prstGeom>
                    <a:ln/>
                  </pic:spPr>
                </pic:pic>
              </a:graphicData>
            </a:graphic>
          </wp:inline>
        </w:drawing>
      </w:r>
      <w:r w:rsidRPr="008F3885">
        <w:drawing>
          <wp:inline distT="0" distB="0" distL="0" distR="0" wp14:anchorId="01F5C294" wp14:editId="4C3659F8">
            <wp:extent cx="2143125" cy="2047875"/>
            <wp:effectExtent l="0" t="0" r="0" b="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2143125" cy="2047875"/>
                    </a:xfrm>
                    <a:prstGeom prst="rect">
                      <a:avLst/>
                    </a:prstGeom>
                    <a:ln/>
                  </pic:spPr>
                </pic:pic>
              </a:graphicData>
            </a:graphic>
          </wp:inline>
        </w:drawing>
      </w:r>
    </w:p>
    <w:p w14:paraId="6AFA47B6" w14:textId="24E61C7E" w:rsidR="008F3885" w:rsidRDefault="008F3885" w:rsidP="008F3885">
      <w:pPr>
        <w:pBdr>
          <w:top w:val="nil"/>
          <w:left w:val="nil"/>
          <w:bottom w:val="nil"/>
          <w:right w:val="nil"/>
          <w:between w:val="nil"/>
        </w:pBdr>
        <w:spacing w:line="276" w:lineRule="auto"/>
        <w:jc w:val="center"/>
      </w:pPr>
      <w:r w:rsidRPr="008F3885">
        <w:rPr>
          <w:b/>
          <w:bCs/>
        </w:rPr>
        <w:t>Figure 3</w:t>
      </w:r>
      <w:r w:rsidRPr="008F3885">
        <w:rPr>
          <w:b/>
          <w:bCs/>
        </w:rPr>
        <w:t>.</w:t>
      </w:r>
      <w:r>
        <w:t xml:space="preserve"> </w:t>
      </w:r>
      <w:r w:rsidRPr="008F3885">
        <w:t>Disk diffusion showing the antibiotic resistance pattern of E. faecalis (54) and E. lactis (21).</w:t>
      </w:r>
    </w:p>
    <w:p w14:paraId="2ADFE5AA" w14:textId="77777777" w:rsidR="008F3885" w:rsidRPr="008F3885" w:rsidRDefault="008F3885" w:rsidP="008F3885">
      <w:pPr>
        <w:pBdr>
          <w:top w:val="nil"/>
          <w:left w:val="nil"/>
          <w:bottom w:val="nil"/>
          <w:right w:val="nil"/>
          <w:between w:val="nil"/>
        </w:pBdr>
        <w:spacing w:line="276" w:lineRule="auto"/>
        <w:jc w:val="center"/>
      </w:pPr>
    </w:p>
    <w:p w14:paraId="1E9E0901" w14:textId="6A7A8711" w:rsidR="008F3885" w:rsidRPr="008F3885" w:rsidRDefault="008F3885" w:rsidP="008F3885">
      <w:pPr>
        <w:pBdr>
          <w:top w:val="nil"/>
          <w:left w:val="nil"/>
          <w:bottom w:val="nil"/>
          <w:right w:val="nil"/>
          <w:between w:val="nil"/>
        </w:pBdr>
        <w:spacing w:line="276" w:lineRule="auto"/>
      </w:pPr>
      <w:r w:rsidRPr="008F3885">
        <w:rPr>
          <w:b/>
          <w:bCs/>
        </w:rPr>
        <w:t>Detection of agg, esp and ace Genes</w:t>
      </w:r>
    </w:p>
    <w:p w14:paraId="2FCC36D1" w14:textId="77777777" w:rsidR="008F3885" w:rsidRPr="008F3885" w:rsidRDefault="008F3885" w:rsidP="008F3885">
      <w:pPr>
        <w:pBdr>
          <w:top w:val="nil"/>
          <w:left w:val="nil"/>
          <w:bottom w:val="nil"/>
          <w:right w:val="nil"/>
          <w:between w:val="nil"/>
        </w:pBdr>
        <w:spacing w:line="276" w:lineRule="auto"/>
        <w:ind w:firstLine="567"/>
      </w:pPr>
      <w:r w:rsidRPr="008F3885">
        <w:t xml:space="preserve">Molecular analysis by PCR showed that the isolates of </w:t>
      </w:r>
      <w:r w:rsidRPr="008F3885">
        <w:rPr>
          <w:i/>
          <w:iCs/>
        </w:rPr>
        <w:t>E. faecalis</w:t>
      </w:r>
      <w:r w:rsidRPr="008F3885">
        <w:t xml:space="preserve"> and </w:t>
      </w:r>
      <w:r w:rsidRPr="008F3885">
        <w:rPr>
          <w:i/>
          <w:iCs/>
        </w:rPr>
        <w:t>E. lactis</w:t>
      </w:r>
      <w:r w:rsidRPr="008F3885">
        <w:t xml:space="preserve"> were positive for the virulence genes </w:t>
      </w:r>
      <w:r w:rsidRPr="008F3885">
        <w:rPr>
          <w:i/>
          <w:iCs/>
        </w:rPr>
        <w:t>agg</w:t>
      </w:r>
      <w:r w:rsidRPr="008F3885">
        <w:t xml:space="preserve"> and </w:t>
      </w:r>
      <w:r w:rsidRPr="008F3885">
        <w:rPr>
          <w:i/>
          <w:iCs/>
        </w:rPr>
        <w:t>esp</w:t>
      </w:r>
      <w:r w:rsidRPr="008F3885">
        <w:t xml:space="preserve"> and negative for the </w:t>
      </w:r>
      <w:r w:rsidRPr="008F3885">
        <w:rPr>
          <w:i/>
          <w:iCs/>
        </w:rPr>
        <w:t>ace</w:t>
      </w:r>
      <w:r w:rsidRPr="008F3885">
        <w:t xml:space="preserve"> gene. The results of the present study showed the presence of </w:t>
      </w:r>
      <w:r w:rsidRPr="008F3885">
        <w:rPr>
          <w:i/>
          <w:iCs/>
        </w:rPr>
        <w:t>agg</w:t>
      </w:r>
      <w:r w:rsidRPr="008F3885">
        <w:t xml:space="preserve"> and </w:t>
      </w:r>
      <w:r w:rsidRPr="008F3885">
        <w:rPr>
          <w:i/>
          <w:iCs/>
        </w:rPr>
        <w:t>esp</w:t>
      </w:r>
      <w:r w:rsidRPr="008F3885">
        <w:t xml:space="preserve"> genes in isolates of both species (Figure 4).</w:t>
      </w:r>
    </w:p>
    <w:p w14:paraId="485FC665" w14:textId="77777777" w:rsidR="008F3885" w:rsidRPr="008F3885" w:rsidRDefault="008F3885" w:rsidP="008F3885">
      <w:pPr>
        <w:pBdr>
          <w:top w:val="nil"/>
          <w:left w:val="nil"/>
          <w:bottom w:val="nil"/>
          <w:right w:val="nil"/>
          <w:between w:val="nil"/>
        </w:pBdr>
        <w:spacing w:line="276" w:lineRule="auto"/>
        <w:jc w:val="center"/>
      </w:pPr>
      <w:r w:rsidRPr="008F3885">
        <w:drawing>
          <wp:inline distT="0" distB="0" distL="0" distR="0" wp14:anchorId="5C264D65" wp14:editId="4474056A">
            <wp:extent cx="1666875" cy="3305175"/>
            <wp:effectExtent l="0" t="0" r="0" b="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a:srcRect/>
                    <a:stretch>
                      <a:fillRect/>
                    </a:stretch>
                  </pic:blipFill>
                  <pic:spPr>
                    <a:xfrm>
                      <a:off x="0" y="0"/>
                      <a:ext cx="1666875" cy="3305175"/>
                    </a:xfrm>
                    <a:prstGeom prst="rect">
                      <a:avLst/>
                    </a:prstGeom>
                    <a:ln/>
                  </pic:spPr>
                </pic:pic>
              </a:graphicData>
            </a:graphic>
          </wp:inline>
        </w:drawing>
      </w:r>
    </w:p>
    <w:p w14:paraId="1D4ADBB2" w14:textId="361DE798" w:rsidR="008F3885" w:rsidRPr="008F3885" w:rsidRDefault="008F3885" w:rsidP="008F3885">
      <w:pPr>
        <w:pBdr>
          <w:top w:val="nil"/>
          <w:left w:val="nil"/>
          <w:bottom w:val="nil"/>
          <w:right w:val="nil"/>
          <w:between w:val="nil"/>
        </w:pBdr>
        <w:spacing w:line="276" w:lineRule="auto"/>
        <w:jc w:val="center"/>
      </w:pPr>
      <w:r w:rsidRPr="008F3885">
        <w:rPr>
          <w:b/>
          <w:bCs/>
        </w:rPr>
        <w:t>Figure 4</w:t>
      </w:r>
      <w:r w:rsidRPr="008F3885">
        <w:rPr>
          <w:b/>
          <w:bCs/>
        </w:rPr>
        <w:t>.</w:t>
      </w:r>
      <w:r w:rsidRPr="008F3885">
        <w:t xml:space="preserve"> Gel electrophoresis of Enterococcus faecalis and Enterococcus lactis. L: ladder 5000 bp on 1% agarose. 1: agg (1553), 2: esp (510), 3: ace.</w:t>
      </w:r>
    </w:p>
    <w:p w14:paraId="51A71556" w14:textId="77777777" w:rsidR="008F3885" w:rsidRDefault="008F3885" w:rsidP="008F3885">
      <w:pPr>
        <w:pBdr>
          <w:top w:val="nil"/>
          <w:left w:val="nil"/>
          <w:bottom w:val="nil"/>
          <w:right w:val="nil"/>
          <w:between w:val="nil"/>
        </w:pBdr>
        <w:spacing w:line="276" w:lineRule="auto"/>
        <w:rPr>
          <w:b/>
          <w:bCs/>
        </w:rPr>
      </w:pPr>
    </w:p>
    <w:p w14:paraId="5BDB0EAF" w14:textId="2A5673D9" w:rsidR="008F3885" w:rsidRPr="008F3885" w:rsidRDefault="008F3885" w:rsidP="008F3885">
      <w:pPr>
        <w:pBdr>
          <w:top w:val="nil"/>
          <w:left w:val="nil"/>
          <w:bottom w:val="nil"/>
          <w:right w:val="nil"/>
          <w:between w:val="nil"/>
        </w:pBdr>
        <w:spacing w:line="276" w:lineRule="auto"/>
      </w:pPr>
      <w:r w:rsidRPr="008F3885">
        <w:rPr>
          <w:b/>
          <w:bCs/>
        </w:rPr>
        <w:t>Discussion</w:t>
      </w:r>
    </w:p>
    <w:p w14:paraId="7DCF334D" w14:textId="77777777" w:rsidR="008F3885" w:rsidRPr="008F3885" w:rsidRDefault="008F3885" w:rsidP="008F3885">
      <w:pPr>
        <w:pBdr>
          <w:top w:val="nil"/>
          <w:left w:val="nil"/>
          <w:bottom w:val="nil"/>
          <w:right w:val="nil"/>
          <w:between w:val="nil"/>
        </w:pBdr>
        <w:spacing w:line="276" w:lineRule="auto"/>
        <w:ind w:firstLine="567"/>
      </w:pPr>
      <w:r w:rsidRPr="008F3885">
        <w:rPr>
          <w:i/>
          <w:iCs/>
        </w:rPr>
        <w:t>E. faecalis</w:t>
      </w:r>
      <w:r w:rsidRPr="008F3885">
        <w:t xml:space="preserve"> and </w:t>
      </w:r>
      <w:r w:rsidRPr="008F3885">
        <w:rPr>
          <w:i/>
          <w:iCs/>
        </w:rPr>
        <w:t>E. lactis</w:t>
      </w:r>
      <w:r w:rsidRPr="008F3885">
        <w:t xml:space="preserve"> were resistant to all the antibiotics used in the present study. Enterococci are especially proficient at acquiring antibiotic resistance through mobile genetic elements (MGEs) such as plasmids and transposons [12]. Hence, </w:t>
      </w:r>
      <w:r w:rsidRPr="008F3885">
        <w:rPr>
          <w:i/>
          <w:iCs/>
        </w:rPr>
        <w:t>E. faecalis</w:t>
      </w:r>
      <w:r w:rsidRPr="008F3885">
        <w:t xml:space="preserve"> and </w:t>
      </w:r>
      <w:r w:rsidRPr="008F3885">
        <w:rPr>
          <w:i/>
          <w:iCs/>
        </w:rPr>
        <w:t>E. lactis</w:t>
      </w:r>
      <w:r w:rsidRPr="008F3885">
        <w:t xml:space="preserve"> are often multi-drug resistant, including to clinically relevant antibiotics such as ampicillin and vancomycin [13]. Consequently, the World </w:t>
      </w:r>
      <w:r w:rsidRPr="008F3885">
        <w:lastRenderedPageBreak/>
        <w:t xml:space="preserve">Health Organization (WHO) has designated VRE as a high-priority pathogen [14]. Vancomycin resistance is mainly the result of the </w:t>
      </w:r>
      <w:r w:rsidRPr="008F3885">
        <w:rPr>
          <w:i/>
          <w:iCs/>
        </w:rPr>
        <w:t>vanA</w:t>
      </w:r>
      <w:r w:rsidRPr="008F3885">
        <w:t xml:space="preserve"> gene, which is part of the </w:t>
      </w:r>
      <w:r w:rsidRPr="008F3885">
        <w:rPr>
          <w:i/>
          <w:iCs/>
        </w:rPr>
        <w:t>vanA</w:t>
      </w:r>
      <w:r w:rsidRPr="008F3885">
        <w:t xml:space="preserve"> operon and is often located on transposons, like Tn1546 [15].</w:t>
      </w:r>
    </w:p>
    <w:p w14:paraId="10F0081D" w14:textId="77777777" w:rsidR="008F3885" w:rsidRPr="008F3885" w:rsidRDefault="008F3885" w:rsidP="008F3885">
      <w:pPr>
        <w:pBdr>
          <w:top w:val="nil"/>
          <w:left w:val="nil"/>
          <w:bottom w:val="nil"/>
          <w:right w:val="nil"/>
          <w:between w:val="nil"/>
        </w:pBdr>
        <w:spacing w:line="276" w:lineRule="auto"/>
        <w:ind w:firstLine="567"/>
      </w:pPr>
      <w:r w:rsidRPr="008F3885">
        <w:t xml:space="preserve">Regarding the virulence determinants, the results of the present study showed the presence of </w:t>
      </w:r>
      <w:r w:rsidRPr="008F3885">
        <w:rPr>
          <w:i/>
          <w:iCs/>
        </w:rPr>
        <w:t>agg</w:t>
      </w:r>
      <w:r w:rsidRPr="008F3885">
        <w:t xml:space="preserve"> and </w:t>
      </w:r>
      <w:r w:rsidRPr="008F3885">
        <w:rPr>
          <w:i/>
          <w:iCs/>
        </w:rPr>
        <w:t>esp</w:t>
      </w:r>
      <w:r w:rsidRPr="008F3885">
        <w:t xml:space="preserve"> genes in isolates of both species. However, variability across studies has been well documented. For example, some authors reported a higher frequency of </w:t>
      </w:r>
      <w:r w:rsidRPr="008F3885">
        <w:rPr>
          <w:i/>
          <w:iCs/>
        </w:rPr>
        <w:t>esp</w:t>
      </w:r>
      <w:r w:rsidRPr="008F3885">
        <w:t xml:space="preserve"> in </w:t>
      </w:r>
      <w:r w:rsidRPr="008F3885">
        <w:rPr>
          <w:i/>
          <w:iCs/>
        </w:rPr>
        <w:t>E. lactis</w:t>
      </w:r>
      <w:r w:rsidRPr="008F3885">
        <w:t xml:space="preserve"> isolates than in </w:t>
      </w:r>
      <w:r w:rsidRPr="008F3885">
        <w:rPr>
          <w:i/>
          <w:iCs/>
        </w:rPr>
        <w:t>E. faecalis</w:t>
      </w:r>
      <w:r w:rsidRPr="008F3885">
        <w:t xml:space="preserve"> ones, indicating species- and strain-dependent differences in the distribution of virulence genes [16].</w:t>
      </w:r>
    </w:p>
    <w:p w14:paraId="6373ECD1" w14:textId="77777777" w:rsidR="008F3885" w:rsidRPr="008F3885" w:rsidRDefault="008F3885" w:rsidP="008F3885">
      <w:pPr>
        <w:pBdr>
          <w:top w:val="nil"/>
          <w:left w:val="nil"/>
          <w:bottom w:val="nil"/>
          <w:right w:val="nil"/>
          <w:between w:val="nil"/>
        </w:pBdr>
        <w:spacing w:line="276" w:lineRule="auto"/>
        <w:ind w:firstLine="567"/>
      </w:pPr>
      <w:r w:rsidRPr="008F3885">
        <w:t xml:space="preserve">In addition, Ace, described as a common adhesin in previous studies, particularly in invasive isolates, was not detected in any of the isolates analyzed in the present study. Such absence has also been reported elsewhere and may be due to geographic variation, differences in clinical origin, or the genetic diversity of circulating strains. Overall, these findings highlight the heterogeneous distribution of virulence determinants among </w:t>
      </w:r>
      <w:r w:rsidRPr="008F3885">
        <w:rPr>
          <w:i/>
          <w:iCs/>
        </w:rPr>
        <w:t>Enterococcus</w:t>
      </w:r>
      <w:r w:rsidRPr="008F3885">
        <w:t xml:space="preserve"> spp. and their possible variability according to the local epidemiological condition. The presence of the </w:t>
      </w:r>
      <w:r w:rsidRPr="008F3885">
        <w:rPr>
          <w:i/>
          <w:iCs/>
        </w:rPr>
        <w:t>agg</w:t>
      </w:r>
      <w:r w:rsidRPr="008F3885">
        <w:t xml:space="preserve"> (aggregation substance) gene suggests enhanced ability of the isolates to adhere to host cells and to induce bacterial aggregation, which promotes colonization and contributes to the transfer of virulence determinants. This gene has also been strongly linked to biofilm formation, thus enhancing the persistence of enterococci in clinical environments and their resistance to host immune responses [3].</w:t>
      </w:r>
    </w:p>
    <w:p w14:paraId="7150F52D" w14:textId="77777777" w:rsidR="008F3885" w:rsidRPr="008F3885" w:rsidRDefault="008F3885" w:rsidP="008F3885">
      <w:pPr>
        <w:pBdr>
          <w:top w:val="nil"/>
          <w:left w:val="nil"/>
          <w:bottom w:val="nil"/>
          <w:right w:val="nil"/>
          <w:between w:val="nil"/>
        </w:pBdr>
        <w:spacing w:line="276" w:lineRule="auto"/>
        <w:ind w:firstLine="567"/>
      </w:pPr>
      <w:r w:rsidRPr="008F3885">
        <w:t xml:space="preserve">Likewise, the presence of the </w:t>
      </w:r>
      <w:r w:rsidRPr="008F3885">
        <w:rPr>
          <w:i/>
          <w:iCs/>
        </w:rPr>
        <w:t>esp</w:t>
      </w:r>
      <w:r w:rsidRPr="008F3885">
        <w:t xml:space="preserve"> (enterococcal surface protein) gene indicates the ability of these isolates to adhere to epithelial surfaces and medical devices. The </w:t>
      </w:r>
      <w:r w:rsidRPr="008F3885">
        <w:rPr>
          <w:i/>
          <w:iCs/>
        </w:rPr>
        <w:t>esp</w:t>
      </w:r>
      <w:r w:rsidRPr="008F3885">
        <w:t xml:space="preserve"> gene is important for biofilm formation and is often associated with an increased pathogenicity and chronicity of enterococcal infections, especially those acquired in hospitals [9].</w:t>
      </w:r>
    </w:p>
    <w:p w14:paraId="49DAA4BA" w14:textId="77777777" w:rsidR="008F3885" w:rsidRPr="008F3885" w:rsidRDefault="008F3885" w:rsidP="008F3885">
      <w:pPr>
        <w:pBdr>
          <w:top w:val="nil"/>
          <w:left w:val="nil"/>
          <w:bottom w:val="nil"/>
          <w:right w:val="nil"/>
          <w:between w:val="nil"/>
        </w:pBdr>
        <w:spacing w:line="276" w:lineRule="auto"/>
        <w:ind w:firstLine="567"/>
      </w:pPr>
      <w:r w:rsidRPr="008F3885">
        <w:t xml:space="preserve">However, the absence of the </w:t>
      </w:r>
      <w:r w:rsidRPr="008F3885">
        <w:rPr>
          <w:i/>
          <w:iCs/>
        </w:rPr>
        <w:t>ace</w:t>
      </w:r>
      <w:r w:rsidRPr="008F3885">
        <w:t xml:space="preserve"> (adhesion to collagen of Enterococcus) gene indicates that collagen-binding is not a primary adherence mechanism in the isolates studied. This suggests that other adhesion-related virulence factors such as </w:t>
      </w:r>
      <w:r w:rsidRPr="008F3885">
        <w:rPr>
          <w:i/>
          <w:iCs/>
        </w:rPr>
        <w:t>agg</w:t>
      </w:r>
      <w:r w:rsidRPr="008F3885">
        <w:t xml:space="preserve"> and </w:t>
      </w:r>
      <w:r w:rsidRPr="008F3885">
        <w:rPr>
          <w:i/>
          <w:iCs/>
        </w:rPr>
        <w:t>esp</w:t>
      </w:r>
      <w:r w:rsidRPr="008F3885">
        <w:t xml:space="preserve"> could compensate for the loss of </w:t>
      </w:r>
      <w:r w:rsidRPr="008F3885">
        <w:rPr>
          <w:i/>
          <w:iCs/>
        </w:rPr>
        <w:t>ace</w:t>
      </w:r>
      <w:r w:rsidRPr="008F3885">
        <w:t xml:space="preserve">, indicating the diversity of pathogenic strategies used by </w:t>
      </w:r>
      <w:r w:rsidRPr="008F3885">
        <w:rPr>
          <w:i/>
          <w:iCs/>
        </w:rPr>
        <w:t>Enterococcus</w:t>
      </w:r>
      <w:r w:rsidRPr="008F3885">
        <w:t xml:space="preserve"> species. In general, these results suggest that </w:t>
      </w:r>
      <w:r w:rsidRPr="008F3885">
        <w:rPr>
          <w:i/>
          <w:iCs/>
        </w:rPr>
        <w:t>E. faecalis</w:t>
      </w:r>
      <w:r w:rsidRPr="008F3885">
        <w:t xml:space="preserve"> and </w:t>
      </w:r>
      <w:r w:rsidRPr="008F3885">
        <w:rPr>
          <w:i/>
          <w:iCs/>
        </w:rPr>
        <w:t>E. lactis</w:t>
      </w:r>
      <w:r w:rsidRPr="008F3885">
        <w:t xml:space="preserve"> possess important virulence-related genes that might be important for their pathogenic potential, even without some adhesion factors.</w:t>
      </w:r>
    </w:p>
    <w:p w14:paraId="54972BA2" w14:textId="77777777" w:rsidR="008F3885" w:rsidRDefault="008F3885" w:rsidP="008F3885">
      <w:pPr>
        <w:pBdr>
          <w:top w:val="nil"/>
          <w:left w:val="nil"/>
          <w:bottom w:val="nil"/>
          <w:right w:val="nil"/>
          <w:between w:val="nil"/>
        </w:pBdr>
        <w:spacing w:line="276" w:lineRule="auto"/>
        <w:rPr>
          <w:b/>
          <w:bCs/>
        </w:rPr>
      </w:pPr>
    </w:p>
    <w:p w14:paraId="63EE4444" w14:textId="107ADDAF" w:rsidR="008F3885" w:rsidRPr="008F3885" w:rsidRDefault="008F3885" w:rsidP="008F3885">
      <w:pPr>
        <w:pBdr>
          <w:top w:val="nil"/>
          <w:left w:val="nil"/>
          <w:bottom w:val="nil"/>
          <w:right w:val="nil"/>
          <w:between w:val="nil"/>
        </w:pBdr>
        <w:spacing w:line="276" w:lineRule="auto"/>
      </w:pPr>
      <w:r w:rsidRPr="008F3885">
        <w:rPr>
          <w:b/>
          <w:bCs/>
        </w:rPr>
        <w:t>Conclusion</w:t>
      </w:r>
    </w:p>
    <w:p w14:paraId="78B22472" w14:textId="46BDD698" w:rsidR="00D64192" w:rsidRDefault="008F3885" w:rsidP="008F3885">
      <w:pPr>
        <w:pBdr>
          <w:top w:val="nil"/>
          <w:left w:val="nil"/>
          <w:bottom w:val="nil"/>
          <w:right w:val="nil"/>
          <w:between w:val="nil"/>
        </w:pBdr>
        <w:spacing w:line="276" w:lineRule="auto"/>
        <w:ind w:firstLine="567"/>
        <w:rPr>
          <w:bCs/>
        </w:rPr>
      </w:pPr>
      <w:r w:rsidRPr="008F3885">
        <w:t xml:space="preserve">This study shows the presence of multidrug-resistant </w:t>
      </w:r>
      <w:r w:rsidRPr="008F3885">
        <w:rPr>
          <w:i/>
          <w:iCs/>
        </w:rPr>
        <w:t>E. faecalis</w:t>
      </w:r>
      <w:r w:rsidRPr="008F3885">
        <w:t xml:space="preserve"> and </w:t>
      </w:r>
      <w:r w:rsidRPr="008F3885">
        <w:rPr>
          <w:i/>
          <w:iCs/>
        </w:rPr>
        <w:t>E. lactis</w:t>
      </w:r>
      <w:r w:rsidRPr="008F3885">
        <w:t xml:space="preserve"> in soft tissue infections and emphasizes their clinical significance as emerging opportunistic pathogens. The combination of the presence of important virulence genes (</w:t>
      </w:r>
      <w:r w:rsidRPr="008F3885">
        <w:rPr>
          <w:i/>
          <w:iCs/>
        </w:rPr>
        <w:t>agg</w:t>
      </w:r>
      <w:r w:rsidRPr="008F3885">
        <w:t xml:space="preserve"> and </w:t>
      </w:r>
      <w:r w:rsidRPr="008F3885">
        <w:rPr>
          <w:i/>
          <w:iCs/>
        </w:rPr>
        <w:t>esp</w:t>
      </w:r>
      <w:r w:rsidRPr="008F3885">
        <w:t xml:space="preserve">) and the absence of the </w:t>
      </w:r>
      <w:r w:rsidRPr="008F3885">
        <w:rPr>
          <w:i/>
          <w:iCs/>
        </w:rPr>
        <w:t>ace</w:t>
      </w:r>
      <w:r w:rsidRPr="008F3885">
        <w:t xml:space="preserve"> gene indicates a unique virulence profile that may be involved in colonization and persistence in infected tissues. Furthermore, the complete resistance of the confirmed isolates to all antibiotics tested underlines the serious therapeutic problems raised by these organisms. The findings underscore the importance of ongoing epidemiological surveillance, effective infection control policies, and judicious use of antimicrobial agents to prevent the spread of resistant enterococcal isolates in clinical settings</w:t>
      </w:r>
      <w:r w:rsidR="00D64192" w:rsidRPr="00D64192">
        <w:rPr>
          <w:bCs/>
        </w:rPr>
        <w:t xml:space="preserve">. </w:t>
      </w:r>
    </w:p>
    <w:p w14:paraId="29C9E81B" w14:textId="77777777" w:rsidR="0011399B" w:rsidRPr="005D4A7F" w:rsidRDefault="0011399B" w:rsidP="005D4A7F">
      <w:pPr>
        <w:pBdr>
          <w:top w:val="nil"/>
          <w:left w:val="nil"/>
          <w:bottom w:val="nil"/>
          <w:right w:val="nil"/>
          <w:between w:val="nil"/>
        </w:pBdr>
        <w:spacing w:line="276" w:lineRule="auto"/>
        <w:ind w:firstLine="567"/>
        <w:rPr>
          <w:b/>
        </w:rPr>
      </w:pPr>
    </w:p>
    <w:p w14:paraId="1EA00632" w14:textId="52ABF459" w:rsidR="009D080D" w:rsidRPr="005D4A7F" w:rsidRDefault="007C5BBA" w:rsidP="005D4A7F">
      <w:pPr>
        <w:pBdr>
          <w:top w:val="nil"/>
          <w:left w:val="nil"/>
          <w:bottom w:val="nil"/>
          <w:right w:val="nil"/>
          <w:between w:val="nil"/>
        </w:pBdr>
        <w:spacing w:line="276" w:lineRule="auto"/>
        <w:rPr>
          <w:b/>
        </w:rPr>
      </w:pPr>
      <w:r w:rsidRPr="005D4A7F">
        <w:rPr>
          <w:b/>
        </w:rPr>
        <w:t>REFERENCES</w:t>
      </w:r>
    </w:p>
    <w:p w14:paraId="582236BD"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[1] Y. B. Kim, K. W. Seo, J. B. Shim, S. hyun Son, E. B. Noh, and Y. J. Lee, “Molecular characterization of antimicrobial-resistant Enterococcus faecalis and Enterococcus faecium isolated from layer parent stock,” </w:t>
      </w:r>
      <w:r w:rsidRPr="008F3885">
        <w:rPr>
          <w:i/>
          <w:iCs/>
        </w:rPr>
        <w:t>Poultry Science</w:t>
      </w:r>
      <w:r w:rsidRPr="008F3885">
        <w:t>, vol. 98, no. 11, pp. 5892–5899, 2019, doi: 10.3382/ps/pez288.</w:t>
      </w:r>
    </w:p>
    <w:p w14:paraId="339ADDD5"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[2] X. Zhou, R. J. Willems, A. W. Friedrich, J. W. Rossen, and E. Bathoorn, “Enterococcus faecium: from microbiological insights to practical recommendations for infection control and diagnostics,” </w:t>
      </w:r>
      <w:r w:rsidRPr="008F3885">
        <w:rPr>
          <w:i/>
          <w:iCs/>
        </w:rPr>
        <w:lastRenderedPageBreak/>
        <w:t>Antimicrobial Resistance and Infection Control</w:t>
      </w:r>
      <w:r w:rsidRPr="008F3885">
        <w:t>, vol. 9, no. 1, Art. no. 130, 2020, doi: 10.1186/s13756-020-00770-1.</w:t>
      </w:r>
    </w:p>
    <w:p w14:paraId="573D00CE"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[3] M. S. Attia and I. H. Al-Azawi, “The molecular identification of agg and hyl genes of Enterococcus faecalis isolated from different clinical samples,” </w:t>
      </w:r>
      <w:r w:rsidRPr="008F3885">
        <w:rPr>
          <w:i/>
          <w:iCs/>
        </w:rPr>
        <w:t>Al-Qadisiah Medical Journal</w:t>
      </w:r>
      <w:r w:rsidRPr="008F3885">
        <w:t>, vol. 19, no. 2, 2023.</w:t>
      </w:r>
    </w:p>
    <w:p w14:paraId="5A54C32A"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[4] A. A. Shah, S. Khursheed, A. Rashid, and A. Gupta, “Isolation, identification, speciation, and antibiogram of Enterococcus species by conventional methods and assessment of the prevalence of vanA genotype among VRE,” </w:t>
      </w:r>
      <w:r w:rsidRPr="008F3885">
        <w:rPr>
          <w:i/>
          <w:iCs/>
        </w:rPr>
        <w:t>Journal of Medical and Pharmaceutical Allied Sciences</w:t>
      </w:r>
      <w:r w:rsidRPr="008F3885">
        <w:t>, vol. 11, no. 4, pp. 5037–5044, 2022.</w:t>
      </w:r>
    </w:p>
    <w:p w14:paraId="00D0046B" w14:textId="77777777" w:rsidR="008F3885" w:rsidRPr="008F3885" w:rsidRDefault="008F3885" w:rsidP="008F3885">
      <w:pPr>
        <w:pBdr>
          <w:top w:val="nil"/>
          <w:left w:val="nil"/>
          <w:bottom w:val="nil"/>
          <w:right w:val="nil"/>
          <w:between w:val="nil"/>
        </w:pBdr>
        <w:spacing w:line="276" w:lineRule="auto"/>
        <w:ind w:left="567" w:hanging="567"/>
      </w:pPr>
      <w:r w:rsidRPr="008F3885">
        <w:t>[5] R. T. Ayanto, “Plasmid PCF10-mediated Enterococcus faecalis heterogenous tower-like biofilm structures influence biological properties of the biofilms,” Ph.D. dissertation, Temple University, Philadelphia, PA, USA, 2021.</w:t>
      </w:r>
    </w:p>
    <w:p w14:paraId="47462E66"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[6] M. Shahveh, E. Tajbakhsh, H. Momtaz, and R. Ranjbar, “Molecular characterization of Enterococcus faecalis and Enterococcus faecium isolated from a meat source in Shahrekord local markets, Iran,” </w:t>
      </w:r>
      <w:r w:rsidRPr="008F3885">
        <w:rPr>
          <w:i/>
          <w:iCs/>
        </w:rPr>
        <w:t>Archives of Razi Institute</w:t>
      </w:r>
      <w:r w:rsidRPr="008F3885">
        <w:t>, vol. 78, no. 4, p. 1387, 2023, doi: 10.32592/ARI.2023.78.4.1387.</w:t>
      </w:r>
    </w:p>
    <w:p w14:paraId="6A6EDB5E"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[7] O. M. Alzahrani, M. Fayez, A. S. Alswat, M. Alkafafy, S. F. Mahmoud, T. Al-Marri, A. Almuslem, H. Ashfaq, and S. Yusuf, “Antimicrobial resistance, biofilm formation, and virulence genes in Enterococcus species from small backyard chicken flocks,” </w:t>
      </w:r>
      <w:r w:rsidRPr="008F3885">
        <w:rPr>
          <w:i/>
          <w:iCs/>
        </w:rPr>
        <w:t>Antibiotics</w:t>
      </w:r>
      <w:r w:rsidRPr="008F3885">
        <w:t>, vol. 11, no. 3, Art. no. 380, 2022, doi: 10.3390/antibiotics11030380.</w:t>
      </w:r>
    </w:p>
    <w:p w14:paraId="39E2820F"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[8] F. Hasanpour, Z. Neyestani, M. Arzanlou, E. Moradi-Asl, A. Sahebkar, and F. Khademi, “Vancomycin-resistant enterococci in Iran: A systematic review and meta-analysis of non-clinical studies,” </w:t>
      </w:r>
      <w:r w:rsidRPr="008F3885">
        <w:rPr>
          <w:i/>
          <w:iCs/>
        </w:rPr>
        <w:t>Gene Reports</w:t>
      </w:r>
      <w:r w:rsidRPr="008F3885">
        <w:t>, vol. 24, Art. no. 101265, 2021, doi: 10.1016/j.genrep.2021.101265.</w:t>
      </w:r>
    </w:p>
    <w:p w14:paraId="41A45C48"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[9] O. N. Chuang-Smith, C. L. Wells, M. J. Henry-Stanley, and G. M. Dunny, “Acceleration of Enterococcus faecalis biofilm formation by aggregation substance expression in an ex vivo model of cardiac valve colonization,” </w:t>
      </w:r>
      <w:r w:rsidRPr="008F3885">
        <w:rPr>
          <w:i/>
          <w:iCs/>
        </w:rPr>
        <w:t>PLoS One</w:t>
      </w:r>
      <w:r w:rsidRPr="008F3885">
        <w:t>, vol. 5, no. 12, Art. no. e15798, 2010.</w:t>
      </w:r>
    </w:p>
    <w:p w14:paraId="59750009"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[10] M. E. Łysakowska, A. Denys, and M. Sienkiewicz, “Frequency of ace, epa and elrA genes in clinical and environmental strains of Enterococcus faecalis,” </w:t>
      </w:r>
      <w:r w:rsidRPr="008F3885">
        <w:rPr>
          <w:i/>
          <w:iCs/>
        </w:rPr>
        <w:t>Indian Journal of Microbiology</w:t>
      </w:r>
      <w:r w:rsidRPr="008F3885">
        <w:t>, vol. 52, no. 4, pp. 612–616, 2012, doi: 10.1007/s12088-012-0285-8.</w:t>
      </w:r>
    </w:p>
    <w:p w14:paraId="788F36DA"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[11] T. Strateva, D. Atanasova, E. Savov, G. Petrova, and I. Mitov, “Incidence of virulence determinants in clinical Enterococcus faecalis and Enterococcus faecium isolates collected in Bulgaria,” </w:t>
      </w:r>
      <w:r w:rsidRPr="008F3885">
        <w:rPr>
          <w:i/>
          <w:iCs/>
        </w:rPr>
        <w:t>Brazilian Journal of Infectious Diseases</w:t>
      </w:r>
      <w:r w:rsidRPr="008F3885">
        <w:t>, vol. 20, no. 2, pp. 127–133, 2016, doi: 10.1016/j.bjid.2015.11.011.</w:t>
      </w:r>
    </w:p>
    <w:p w14:paraId="29384461"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[12] C. N. Johnson, E. K. Sheriff, B. A. Duerkop, and A. Chatterjee, “Let me upgrade you: Impact of mobile genetic elements on enterococcal adaptation and evolution,” </w:t>
      </w:r>
      <w:r w:rsidRPr="008F3885">
        <w:rPr>
          <w:i/>
          <w:iCs/>
        </w:rPr>
        <w:t>Journal of Bacteriology</w:t>
      </w:r>
      <w:r w:rsidRPr="008F3885">
        <w:t>, vol. 203, no. 21, pp. 10–1128, 2021, doi: 10.1128/jb.00177-21.</w:t>
      </w:r>
    </w:p>
    <w:p w14:paraId="6EA40864"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[13] S. Bertagnolio, Z. Dobreva, C. M. Centner, I. D. Olaru, D. Donà, S. Burzo, and A. Kotwani, “WHO global research priorities for antimicrobial resistance in human health,” </w:t>
      </w:r>
      <w:r w:rsidRPr="008F3885">
        <w:rPr>
          <w:i/>
          <w:iCs/>
        </w:rPr>
        <w:t>The Lancet Microbe</w:t>
      </w:r>
      <w:r w:rsidRPr="008F3885">
        <w:t>, vol. 5, no. 11, 2024.</w:t>
      </w:r>
    </w:p>
    <w:p w14:paraId="25E2C54A"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[14] World Health Organization, </w:t>
      </w:r>
      <w:r w:rsidRPr="008F3885">
        <w:rPr>
          <w:i/>
          <w:iCs/>
        </w:rPr>
        <w:t>Global Report on Infection Prevention and Control 2024</w:t>
      </w:r>
      <w:r w:rsidRPr="008F3885">
        <w:t>. Geneva, Switzerland: WHO, 2024. [Online] . Available: https://www.who.int/publications/i/item/9789240103986</w:t>
      </w:r>
    </w:p>
    <w:p w14:paraId="07B75D29" w14:textId="77777777" w:rsidR="008F3885" w:rsidRPr="008F3885" w:rsidRDefault="008F3885" w:rsidP="008F3885">
      <w:pPr>
        <w:pBdr>
          <w:top w:val="nil"/>
          <w:left w:val="nil"/>
          <w:bottom w:val="nil"/>
          <w:right w:val="nil"/>
          <w:between w:val="nil"/>
        </w:pBdr>
        <w:spacing w:line="276" w:lineRule="auto"/>
        <w:ind w:left="567" w:hanging="567"/>
      </w:pPr>
      <w:r w:rsidRPr="008F3885">
        <w:t xml:space="preserve">[15] A. Raddaoui, Y. Chebbi, S. Frigui, J. Latorre, R. W. Ammeri, N. B. Abdejlil, and W. Achour, “Genetic characterization of vancomycin-resistant Enterococcus faecium isolates from neutropenic patients in Tunisia: Spread of the pandemic CC17 clone associated with high genetic diversity in Tn1546-like structures,” </w:t>
      </w:r>
      <w:r w:rsidRPr="008F3885">
        <w:rPr>
          <w:i/>
          <w:iCs/>
        </w:rPr>
        <w:t>Journal of Applied Microbiology</w:t>
      </w:r>
      <w:r w:rsidRPr="008F3885">
        <w:t>, vol. 135, no. 9, Art. no. lxae225, 2024, doi: 10.1093/jambio/lxae225.</w:t>
      </w:r>
    </w:p>
    <w:p w14:paraId="6E32764C" w14:textId="215EE286" w:rsidR="009D080D" w:rsidRPr="00D64192" w:rsidRDefault="008F3885" w:rsidP="008F3885">
      <w:pPr>
        <w:pBdr>
          <w:top w:val="nil"/>
          <w:left w:val="nil"/>
          <w:bottom w:val="nil"/>
          <w:right w:val="nil"/>
          <w:between w:val="nil"/>
        </w:pBdr>
        <w:spacing w:line="276" w:lineRule="auto"/>
        <w:ind w:left="567" w:hanging="567"/>
      </w:pPr>
      <w:r w:rsidRPr="008F3885">
        <w:lastRenderedPageBreak/>
        <w:t xml:space="preserve">[16] I. Duprè, S. Zanetti, A. M. Schito, G. Fadda, and L. A. Sechi, “Incidence of virulence determinants in clinical Enterococcus faecium and Enterococcus faecalis isolates collected in Sardinia (Italy),” </w:t>
      </w:r>
      <w:r w:rsidRPr="008F3885">
        <w:rPr>
          <w:i/>
          <w:iCs/>
        </w:rPr>
        <w:t>Journal of Medical Microbiology</w:t>
      </w:r>
      <w:r w:rsidRPr="008F3885">
        <w:t>, vol. 52, no. 6, pp. 491–498, 2003, doi: 10.1099/jmm.0.05038-0.</w:t>
      </w:r>
    </w:p>
    <w:sectPr w:rsidR="009D080D" w:rsidRPr="00D64192" w:rsidSect="008F3885">
      <w:headerReference w:type="even" r:id="rId20"/>
      <w:headerReference w:type="default" r:id="rId21"/>
      <w:footerReference w:type="even" r:id="rId22"/>
      <w:footerReference w:type="default" r:id="rId23"/>
      <w:headerReference w:type="first" r:id="rId24"/>
      <w:footerReference w:type="first" r:id="rId25"/>
      <w:pgSz w:w="11906" w:h="16838"/>
      <w:pgMar w:top="709" w:right="1440" w:bottom="1440" w:left="1440" w:header="284" w:footer="225" w:gutter="0"/>
      <w:pgNumType w:start="9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0E28" w14:textId="77777777" w:rsidR="009C7644" w:rsidRDefault="009C7644">
      <w:pPr>
        <w:spacing w:line="240" w:lineRule="auto"/>
      </w:pPr>
      <w:r>
        <w:separator/>
      </w:r>
    </w:p>
  </w:endnote>
  <w:endnote w:type="continuationSeparator" w:id="0">
    <w:p w14:paraId="61E845FE" w14:textId="77777777" w:rsidR="009C7644" w:rsidRDefault="009C7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BBB4" w14:textId="77777777" w:rsidR="009D080D" w:rsidRDefault="009D080D">
    <w:pPr>
      <w:pBdr>
        <w:top w:val="nil"/>
        <w:left w:val="nil"/>
        <w:bottom w:val="nil"/>
        <w:right w:val="nil"/>
        <w:between w:val="nil"/>
      </w:pBdr>
      <w:tabs>
        <w:tab w:val="center" w:pos="4153"/>
        <w:tab w:val="right" w:pos="8306"/>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C7E3" w14:textId="77777777" w:rsidR="009D080D" w:rsidRDefault="007C5BBA">
    <w:pPr>
      <w:pBdr>
        <w:top w:val="nil"/>
        <w:left w:val="nil"/>
        <w:bottom w:val="nil"/>
        <w:right w:val="nil"/>
        <w:between w:val="nil"/>
      </w:pBdr>
      <w:tabs>
        <w:tab w:val="center" w:pos="4153"/>
        <w:tab w:val="right" w:pos="8306"/>
      </w:tabs>
      <w:spacing w:line="240" w:lineRule="auto"/>
      <w:jc w:val="right"/>
      <w:rPr>
        <w:sz w:val="18"/>
        <w:szCs w:val="18"/>
      </w:rPr>
    </w:pPr>
    <w:r>
      <w:rPr>
        <w:sz w:val="18"/>
        <w:szCs w:val="18"/>
      </w:rPr>
      <w:t xml:space="preserve">American Journal of Biology and Natural Sciences | </w:t>
    </w:r>
    <w:r>
      <w:rPr>
        <w:sz w:val="18"/>
        <w:szCs w:val="18"/>
      </w:rPr>
      <w:fldChar w:fldCharType="begin"/>
    </w:r>
    <w:r>
      <w:rPr>
        <w:sz w:val="18"/>
        <w:szCs w:val="18"/>
      </w:rPr>
      <w:instrText>PAGE</w:instrText>
    </w:r>
    <w:r>
      <w:rPr>
        <w:sz w:val="18"/>
        <w:szCs w:val="18"/>
      </w:rPr>
      <w:fldChar w:fldCharType="separate"/>
    </w:r>
    <w:r w:rsidR="007E76B7">
      <w:rPr>
        <w:sz w:val="18"/>
        <w:szCs w:val="18"/>
      </w:rPr>
      <w:t>2</w:t>
    </w:r>
    <w:r>
      <w:rPr>
        <w:sz w:val="18"/>
        <w:szCs w:val="18"/>
      </w:rPr>
      <w:fldChar w:fldCharType="end"/>
    </w:r>
    <w:r>
      <w:rPr>
        <w:sz w:val="18"/>
        <w:szCs w:val="18"/>
      </w:rPr>
      <w:t xml:space="preserve"> </w:t>
    </w:r>
  </w:p>
  <w:p w14:paraId="31F14E3F" w14:textId="77777777" w:rsidR="009D080D" w:rsidRDefault="009D080D">
    <w:pPr>
      <w:pBdr>
        <w:bottom w:val="single" w:sz="4" w:space="1" w:color="000000"/>
      </w:pBdr>
      <w:tabs>
        <w:tab w:val="right" w:pos="8844"/>
      </w:tabs>
      <w:spacing w:after="480" w:line="100" w:lineRule="auto"/>
      <w:jc w:val="lef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AA4A" w14:textId="77777777" w:rsidR="009D080D" w:rsidRDefault="007C5BBA">
    <w:pPr>
      <w:pBdr>
        <w:top w:val="nil"/>
        <w:left w:val="nil"/>
        <w:bottom w:val="nil"/>
        <w:right w:val="nil"/>
        <w:between w:val="nil"/>
      </w:pBdr>
      <w:tabs>
        <w:tab w:val="center" w:pos="4153"/>
        <w:tab w:val="right" w:pos="8306"/>
      </w:tabs>
      <w:spacing w:line="240" w:lineRule="auto"/>
      <w:jc w:val="right"/>
      <w:rPr>
        <w:sz w:val="18"/>
        <w:szCs w:val="18"/>
      </w:rPr>
    </w:pPr>
    <w:r>
      <w:rPr>
        <w:sz w:val="18"/>
        <w:szCs w:val="18"/>
      </w:rPr>
      <w:t xml:space="preserve">American Journal of Biology and Natural Sciences | </w:t>
    </w:r>
    <w:r>
      <w:rPr>
        <w:sz w:val="18"/>
        <w:szCs w:val="18"/>
      </w:rPr>
      <w:fldChar w:fldCharType="begin"/>
    </w:r>
    <w:r>
      <w:rPr>
        <w:sz w:val="18"/>
        <w:szCs w:val="18"/>
      </w:rPr>
      <w:instrText>PAGE</w:instrText>
    </w:r>
    <w:r>
      <w:rPr>
        <w:sz w:val="18"/>
        <w:szCs w:val="18"/>
      </w:rPr>
      <w:fldChar w:fldCharType="separate"/>
    </w:r>
    <w:r w:rsidR="007E76B7">
      <w:rPr>
        <w:sz w:val="18"/>
        <w:szCs w:val="18"/>
      </w:rPr>
      <w:t>1</w:t>
    </w:r>
    <w:r>
      <w:rPr>
        <w:sz w:val="18"/>
        <w:szCs w:val="18"/>
      </w:rPr>
      <w:fldChar w:fldCharType="end"/>
    </w:r>
    <w:r>
      <w:rPr>
        <w:sz w:val="18"/>
        <w:szCs w:val="18"/>
      </w:rPr>
      <w:t xml:space="preserve"> </w:t>
    </w:r>
  </w:p>
  <w:p w14:paraId="2242BD5D" w14:textId="77777777" w:rsidR="009D080D" w:rsidRDefault="009D080D">
    <w:pPr>
      <w:pBdr>
        <w:bottom w:val="single" w:sz="4" w:space="1" w:color="000000"/>
      </w:pBdr>
      <w:tabs>
        <w:tab w:val="right" w:pos="8844"/>
      </w:tabs>
      <w:spacing w:after="480" w:line="100" w:lineRule="auto"/>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4602" w14:textId="77777777" w:rsidR="009C7644" w:rsidRDefault="009C7644">
      <w:pPr>
        <w:spacing w:line="240" w:lineRule="auto"/>
      </w:pPr>
      <w:r>
        <w:separator/>
      </w:r>
    </w:p>
  </w:footnote>
  <w:footnote w:type="continuationSeparator" w:id="0">
    <w:p w14:paraId="46CF6527" w14:textId="77777777" w:rsidR="009C7644" w:rsidRDefault="009C76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253D" w14:textId="77777777" w:rsidR="009D080D" w:rsidRDefault="009D080D">
    <w:pPr>
      <w:pBdr>
        <w:top w:val="nil"/>
        <w:left w:val="nil"/>
        <w:bottom w:val="none" w:sz="0" w:space="0" w:color="000000"/>
        <w:right w:val="nil"/>
        <w:between w:val="nil"/>
      </w:pBdr>
      <w:tabs>
        <w:tab w:val="center" w:pos="4153"/>
        <w:tab w:val="right" w:pos="8306"/>
      </w:tabs>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FE64" w14:textId="77777777" w:rsidR="009D080D" w:rsidRDefault="009D080D">
    <w:pPr>
      <w:spacing w:line="240" w:lineRule="auto"/>
      <w:jc w:val="right"/>
      <w:rPr>
        <w:b/>
      </w:rPr>
    </w:pPr>
  </w:p>
  <w:p w14:paraId="0D7623AA" w14:textId="18B0E096" w:rsidR="009D080D" w:rsidRDefault="00E556FF">
    <w:pPr>
      <w:spacing w:line="240" w:lineRule="auto"/>
      <w:jc w:val="right"/>
      <w:rPr>
        <w:b/>
        <w:sz w:val="18"/>
        <w:szCs w:val="18"/>
      </w:rPr>
    </w:pPr>
    <w:r w:rsidRPr="00E556FF">
      <w:rPr>
        <w:b/>
        <w:sz w:val="18"/>
        <w:szCs w:val="18"/>
      </w:rPr>
      <w:t>Humaidan, I. O.</w:t>
    </w:r>
    <w:r>
      <w:rPr>
        <w:b/>
        <w:sz w:val="18"/>
        <w:szCs w:val="18"/>
      </w:rPr>
      <w:t xml:space="preserve"> </w:t>
    </w:r>
    <w:r w:rsidR="001E49F9">
      <w:rPr>
        <w:b/>
        <w:sz w:val="18"/>
        <w:szCs w:val="18"/>
      </w:rPr>
      <w:t>et al.</w:t>
    </w:r>
    <w:r w:rsidR="007C5BBA">
      <w:rPr>
        <w:b/>
        <w:sz w:val="18"/>
        <w:szCs w:val="18"/>
      </w:rPr>
      <w:t xml:space="preserve"> /Biojournal Vol </w:t>
    </w:r>
    <w:r w:rsidR="005D4A7F">
      <w:rPr>
        <w:b/>
        <w:sz w:val="18"/>
        <w:szCs w:val="18"/>
      </w:rPr>
      <w:t>3</w:t>
    </w:r>
    <w:r w:rsidR="007C5BBA">
      <w:rPr>
        <w:b/>
        <w:sz w:val="18"/>
        <w:szCs w:val="18"/>
      </w:rPr>
      <w:t xml:space="preserve"> (</w:t>
    </w:r>
    <w:r w:rsidR="0072020F">
      <w:rPr>
        <w:b/>
        <w:sz w:val="18"/>
        <w:szCs w:val="18"/>
      </w:rPr>
      <w:t>7</w:t>
    </w:r>
    <w:r w:rsidR="007C5BBA">
      <w:rPr>
        <w:b/>
        <w:sz w:val="18"/>
        <w:szCs w:val="18"/>
      </w:rPr>
      <w:t xml:space="preserve">), </w:t>
    </w:r>
    <w:r w:rsidR="0072020F">
      <w:rPr>
        <w:b/>
        <w:sz w:val="18"/>
        <w:szCs w:val="18"/>
      </w:rPr>
      <w:t>July</w:t>
    </w:r>
  </w:p>
  <w:p w14:paraId="08F2C6B5" w14:textId="77777777" w:rsidR="009D080D" w:rsidRDefault="009D080D">
    <w:pPr>
      <w:spacing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7D36" w14:textId="77777777" w:rsidR="009D080D" w:rsidRDefault="009D080D">
    <w:pPr>
      <w:pBdr>
        <w:top w:val="nil"/>
        <w:left w:val="nil"/>
        <w:bottom w:val="none" w:sz="0" w:space="0" w:color="000000"/>
        <w:right w:val="nil"/>
        <w:between w:val="nil"/>
      </w:pBdr>
      <w:tabs>
        <w:tab w:val="center" w:pos="4153"/>
        <w:tab w:val="right" w:pos="8306"/>
      </w:tabs>
      <w:spacing w:line="240" w:lineRule="auto"/>
    </w:pPr>
  </w:p>
  <w:p w14:paraId="45686E16" w14:textId="77777777" w:rsidR="009D080D" w:rsidRDefault="007C5BBA">
    <w:pPr>
      <w:tabs>
        <w:tab w:val="center" w:pos="4153"/>
        <w:tab w:val="right" w:pos="8306"/>
      </w:tabs>
      <w:spacing w:line="240" w:lineRule="auto"/>
    </w:pPr>
    <w:bookmarkStart w:id="0" w:name="_heading=h.gjdgxs" w:colFirst="0" w:colLast="0"/>
    <w:bookmarkEnd w:id="0"/>
    <w:r>
      <w:drawing>
        <wp:anchor distT="0" distB="0" distL="0" distR="0" simplePos="0" relativeHeight="251658240" behindDoc="0" locked="0" layoutInCell="1" hidden="0" allowOverlap="1" wp14:anchorId="6BEABE14" wp14:editId="278AFD01">
          <wp:simplePos x="0" y="0"/>
          <wp:positionH relativeFrom="column">
            <wp:posOffset>0</wp:posOffset>
          </wp:positionH>
          <wp:positionV relativeFrom="paragraph">
            <wp:posOffset>83295</wp:posOffset>
          </wp:positionV>
          <wp:extent cx="995171" cy="692472"/>
          <wp:effectExtent l="0" t="0" r="0" b="0"/>
          <wp:wrapNone/>
          <wp:docPr id="209939890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95171" cy="692472"/>
                  </a:xfrm>
                  <a:prstGeom prst="rect">
                    <a:avLst/>
                  </a:prstGeom>
                  <a:ln/>
                </pic:spPr>
              </pic:pic>
            </a:graphicData>
          </a:graphic>
        </wp:anchor>
      </w:drawing>
    </w:r>
  </w:p>
  <w:p w14:paraId="52542A4B" w14:textId="77777777" w:rsidR="009D080D" w:rsidRDefault="007C5BBA">
    <w:pPr>
      <w:pStyle w:val="Heading1"/>
      <w:spacing w:before="100" w:line="272" w:lineRule="auto"/>
      <w:ind w:left="0" w:firstLine="0"/>
      <w:jc w:val="right"/>
      <w:rPr>
        <w:rFonts w:ascii="Palatino Linotype" w:eastAsia="Palatino Linotype" w:hAnsi="Palatino Linotype"/>
        <w:b/>
      </w:rPr>
    </w:pPr>
    <w:r>
      <w:rPr>
        <w:rFonts w:ascii="Palatino Linotype" w:eastAsia="Palatino Linotype" w:hAnsi="Palatino Linotype"/>
        <w:b/>
        <w:sz w:val="24"/>
        <w:szCs w:val="24"/>
      </w:rPr>
      <w:t>American Journal of Biology and Natural Sciences</w:t>
    </w:r>
  </w:p>
  <w:p w14:paraId="01E75318" w14:textId="77777777" w:rsidR="009D080D" w:rsidRDefault="009C7644">
    <w:pPr>
      <w:spacing w:line="227" w:lineRule="auto"/>
      <w:jc w:val="right"/>
    </w:pPr>
    <w:hyperlink r:id="rId2">
      <w:r w:rsidR="007C5BBA">
        <w:rPr>
          <w:color w:val="1155CC"/>
          <w:u w:val="single"/>
        </w:rPr>
        <w:t>https://biojournals.us/index.php/AJBNS</w:t>
      </w:r>
    </w:hyperlink>
  </w:p>
  <w:p w14:paraId="226B7D03" w14:textId="77777777" w:rsidR="009D080D" w:rsidRDefault="007C5BBA">
    <w:pPr>
      <w:pBdr>
        <w:top w:val="nil"/>
        <w:left w:val="nil"/>
        <w:bottom w:val="none" w:sz="0" w:space="0" w:color="000000"/>
        <w:right w:val="nil"/>
        <w:between w:val="nil"/>
      </w:pBdr>
      <w:tabs>
        <w:tab w:val="center" w:pos="4153"/>
        <w:tab w:val="right" w:pos="8306"/>
      </w:tabs>
      <w:spacing w:line="240" w:lineRule="auto"/>
      <w:jc w:val="right"/>
    </w:pPr>
    <w:r>
      <w:rPr>
        <w:b/>
        <w:sz w:val="24"/>
        <w:szCs w:val="24"/>
      </w:rPr>
      <w:t>ISSN: 2997-7185</w:t>
    </w:r>
  </w:p>
  <w:p w14:paraId="10A7A5E6" w14:textId="77777777" w:rsidR="009D080D" w:rsidRDefault="009D080D">
    <w:pPr>
      <w:tabs>
        <w:tab w:val="center" w:pos="4153"/>
        <w:tab w:val="right" w:pos="8306"/>
      </w:tabs>
      <w:spacing w:line="240" w:lineRule="auto"/>
      <w:rPr>
        <w:smallCaps/>
      </w:rPr>
    </w:pPr>
  </w:p>
  <w:p w14:paraId="0A942FD1" w14:textId="77777777" w:rsidR="009D080D" w:rsidRDefault="009D080D">
    <w:pPr>
      <w:pBdr>
        <w:top w:val="nil"/>
        <w:left w:val="nil"/>
        <w:bottom w:val="none" w:sz="0" w:space="0" w:color="000000"/>
        <w:right w:val="nil"/>
        <w:between w:val="nil"/>
      </w:pBdr>
      <w:tabs>
        <w:tab w:val="center" w:pos="4153"/>
        <w:tab w:val="right" w:pos="8306"/>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1A1"/>
    <w:multiLevelType w:val="multilevel"/>
    <w:tmpl w:val="7DB04AC8"/>
    <w:lvl w:ilvl="0">
      <w:start w:val="1"/>
      <w:numFmt w:val="decimal"/>
      <w:pStyle w:val="MDPI38bullet"/>
      <w:lvlText w:val="%1)"/>
      <w:lvlJc w:val="left"/>
      <w:pPr>
        <w:ind w:left="3780" w:hanging="360"/>
      </w:pPr>
    </w:lvl>
    <w:lvl w:ilvl="1">
      <w:start w:val="1"/>
      <w:numFmt w:val="decimal"/>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 w15:restartNumberingAfterBreak="0">
    <w:nsid w:val="271C21A6"/>
    <w:multiLevelType w:val="hybridMultilevel"/>
    <w:tmpl w:val="23DC342E"/>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33021168"/>
    <w:multiLevelType w:val="multilevel"/>
    <w:tmpl w:val="C6A08AFC"/>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A458E7"/>
    <w:multiLevelType w:val="hybridMultilevel"/>
    <w:tmpl w:val="988CB9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0D"/>
    <w:rsid w:val="00086593"/>
    <w:rsid w:val="00100D82"/>
    <w:rsid w:val="00102D46"/>
    <w:rsid w:val="0011399B"/>
    <w:rsid w:val="00194B05"/>
    <w:rsid w:val="001E49F9"/>
    <w:rsid w:val="00216695"/>
    <w:rsid w:val="00284518"/>
    <w:rsid w:val="002A0D46"/>
    <w:rsid w:val="0034449A"/>
    <w:rsid w:val="00364A84"/>
    <w:rsid w:val="00364DE0"/>
    <w:rsid w:val="00394C52"/>
    <w:rsid w:val="003C5947"/>
    <w:rsid w:val="003C7707"/>
    <w:rsid w:val="003E08F8"/>
    <w:rsid w:val="00441E12"/>
    <w:rsid w:val="00467026"/>
    <w:rsid w:val="00497165"/>
    <w:rsid w:val="004A0719"/>
    <w:rsid w:val="005273CB"/>
    <w:rsid w:val="00587482"/>
    <w:rsid w:val="005A4671"/>
    <w:rsid w:val="005C7E61"/>
    <w:rsid w:val="005D4A7F"/>
    <w:rsid w:val="005E75FB"/>
    <w:rsid w:val="005F335E"/>
    <w:rsid w:val="00632A02"/>
    <w:rsid w:val="00634980"/>
    <w:rsid w:val="006416F7"/>
    <w:rsid w:val="00654A1F"/>
    <w:rsid w:val="006701CF"/>
    <w:rsid w:val="00672DA8"/>
    <w:rsid w:val="006B3333"/>
    <w:rsid w:val="00700C56"/>
    <w:rsid w:val="0072020F"/>
    <w:rsid w:val="007665CF"/>
    <w:rsid w:val="0078269A"/>
    <w:rsid w:val="007C5BBA"/>
    <w:rsid w:val="007E76B7"/>
    <w:rsid w:val="00810070"/>
    <w:rsid w:val="00814FAB"/>
    <w:rsid w:val="008F3885"/>
    <w:rsid w:val="00976B7E"/>
    <w:rsid w:val="009C7644"/>
    <w:rsid w:val="009D080D"/>
    <w:rsid w:val="00A56D72"/>
    <w:rsid w:val="00A90E61"/>
    <w:rsid w:val="00AA1508"/>
    <w:rsid w:val="00AE60EA"/>
    <w:rsid w:val="00CF55BF"/>
    <w:rsid w:val="00D40716"/>
    <w:rsid w:val="00D4517D"/>
    <w:rsid w:val="00D64192"/>
    <w:rsid w:val="00D978FD"/>
    <w:rsid w:val="00E034FD"/>
    <w:rsid w:val="00E138BE"/>
    <w:rsid w:val="00E556FF"/>
    <w:rsid w:val="00F0105E"/>
    <w:rsid w:val="00F141B8"/>
    <w:rsid w:val="00F60271"/>
    <w:rsid w:val="00F62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7230"/>
  <w15:docId w15:val="{8BCD7AA1-A2FC-42A5-8DB3-B3B3F7E9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Palatino Linotype"/>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10"/>
    <w:pPr>
      <w:spacing w:line="260" w:lineRule="atLeast"/>
    </w:pPr>
    <w:rPr>
      <w:noProof/>
      <w:color w:val="000000"/>
    </w:rPr>
  </w:style>
  <w:style w:type="paragraph" w:styleId="Heading1">
    <w:name w:val="heading 1"/>
    <w:basedOn w:val="Normal"/>
    <w:next w:val="Normal"/>
    <w:link w:val="Heading1Char"/>
    <w:uiPriority w:val="9"/>
    <w:qFormat/>
    <w:rsid w:val="004D7D16"/>
    <w:pPr>
      <w:keepNext/>
      <w:autoSpaceDE w:val="0"/>
      <w:autoSpaceDN w:val="0"/>
      <w:spacing w:before="240" w:after="80" w:line="240" w:lineRule="auto"/>
      <w:ind w:left="720" w:hanging="360"/>
      <w:jc w:val="center"/>
      <w:outlineLvl w:val="0"/>
    </w:pPr>
    <w:rPr>
      <w:rFonts w:ascii="Times New Roman" w:eastAsia="PMingLiU" w:hAnsi="Times New Roman"/>
      <w:smallCaps/>
      <w:noProof w:val="0"/>
      <w:color w:val="auto"/>
      <w:kern w:val="28"/>
      <w:lang w:val="en-AU"/>
    </w:rPr>
  </w:style>
  <w:style w:type="paragraph" w:styleId="Heading2">
    <w:name w:val="heading 2"/>
    <w:basedOn w:val="Normal"/>
    <w:link w:val="Heading2Char"/>
    <w:uiPriority w:val="9"/>
    <w:semiHidden/>
    <w:unhideWhenUsed/>
    <w:qFormat/>
    <w:rsid w:val="00C97AF8"/>
    <w:pPr>
      <w:spacing w:before="100" w:beforeAutospacing="1" w:after="100" w:afterAutospacing="1" w:line="240" w:lineRule="auto"/>
      <w:jc w:val="left"/>
      <w:outlineLvl w:val="1"/>
    </w:pPr>
    <w:rPr>
      <w:rFonts w:ascii="Times New Roman" w:eastAsia="Times New Roman" w:hAnsi="Times New Roman"/>
      <w:b/>
      <w:bCs/>
      <w:noProof w:val="0"/>
      <w:color w:val="auto"/>
      <w:sz w:val="36"/>
      <w:szCs w:val="36"/>
    </w:rPr>
  </w:style>
  <w:style w:type="paragraph" w:styleId="Heading3">
    <w:name w:val="heading 3"/>
    <w:basedOn w:val="Normal"/>
    <w:next w:val="Normal"/>
    <w:link w:val="Heading3Char"/>
    <w:uiPriority w:val="9"/>
    <w:semiHidden/>
    <w:unhideWhenUsed/>
    <w:qFormat/>
    <w:rsid w:val="004D7D16"/>
    <w:pPr>
      <w:keepNext/>
      <w:autoSpaceDE w:val="0"/>
      <w:autoSpaceDN w:val="0"/>
      <w:spacing w:line="240" w:lineRule="auto"/>
      <w:ind w:left="288" w:hanging="180"/>
      <w:jc w:val="left"/>
      <w:outlineLvl w:val="2"/>
    </w:pPr>
    <w:rPr>
      <w:rFonts w:ascii="Times New Roman" w:eastAsia="PMingLiU" w:hAnsi="Times New Roman"/>
      <w:i/>
      <w:iCs/>
      <w:noProof w:val="0"/>
      <w:color w:val="auto"/>
      <w:lang w:val="en-AU"/>
    </w:rPr>
  </w:style>
  <w:style w:type="paragraph" w:styleId="Heading4">
    <w:name w:val="heading 4"/>
    <w:basedOn w:val="Normal"/>
    <w:next w:val="Normal"/>
    <w:link w:val="Heading4Char"/>
    <w:uiPriority w:val="9"/>
    <w:semiHidden/>
    <w:unhideWhenUsed/>
    <w:qFormat/>
    <w:rsid w:val="004D7D16"/>
    <w:pPr>
      <w:keepNext/>
      <w:autoSpaceDE w:val="0"/>
      <w:autoSpaceDN w:val="0"/>
      <w:spacing w:before="240" w:after="60" w:line="240" w:lineRule="auto"/>
      <w:ind w:left="2880" w:hanging="360"/>
      <w:jc w:val="left"/>
      <w:outlineLvl w:val="3"/>
    </w:pPr>
    <w:rPr>
      <w:rFonts w:ascii="Times New Roman" w:eastAsia="PMingLiU" w:hAnsi="Times New Roman"/>
      <w:i/>
      <w:iCs/>
      <w:noProof w:val="0"/>
      <w:color w:val="auto"/>
      <w:sz w:val="18"/>
      <w:szCs w:val="18"/>
      <w:lang w:val="en-AU"/>
    </w:rPr>
  </w:style>
  <w:style w:type="paragraph" w:styleId="Heading5">
    <w:name w:val="heading 5"/>
    <w:basedOn w:val="Normal"/>
    <w:next w:val="Normal"/>
    <w:link w:val="Heading5Char"/>
    <w:uiPriority w:val="9"/>
    <w:semiHidden/>
    <w:unhideWhenUsed/>
    <w:qFormat/>
    <w:rsid w:val="004D7D16"/>
    <w:pPr>
      <w:autoSpaceDE w:val="0"/>
      <w:autoSpaceDN w:val="0"/>
      <w:spacing w:before="240" w:after="60" w:line="240" w:lineRule="auto"/>
      <w:ind w:left="3600" w:hanging="360"/>
      <w:jc w:val="left"/>
      <w:outlineLvl w:val="4"/>
    </w:pPr>
    <w:rPr>
      <w:rFonts w:ascii="Times New Roman" w:eastAsia="PMingLiU" w:hAnsi="Times New Roman"/>
      <w:noProof w:val="0"/>
      <w:color w:val="auto"/>
      <w:sz w:val="18"/>
      <w:szCs w:val="18"/>
      <w:lang w:val="en-AU"/>
    </w:rPr>
  </w:style>
  <w:style w:type="paragraph" w:styleId="Heading6">
    <w:name w:val="heading 6"/>
    <w:basedOn w:val="Normal"/>
    <w:next w:val="Normal"/>
    <w:link w:val="Heading6Char"/>
    <w:uiPriority w:val="9"/>
    <w:semiHidden/>
    <w:unhideWhenUsed/>
    <w:qFormat/>
    <w:rsid w:val="004D7D16"/>
    <w:pPr>
      <w:autoSpaceDE w:val="0"/>
      <w:autoSpaceDN w:val="0"/>
      <w:spacing w:before="240" w:after="60" w:line="240" w:lineRule="auto"/>
      <w:ind w:left="4320" w:hanging="180"/>
      <w:jc w:val="left"/>
      <w:outlineLvl w:val="5"/>
    </w:pPr>
    <w:rPr>
      <w:rFonts w:ascii="Times New Roman" w:eastAsia="PMingLiU" w:hAnsi="Times New Roman"/>
      <w:i/>
      <w:iCs/>
      <w:noProof w:val="0"/>
      <w:color w:val="auto"/>
      <w:sz w:val="16"/>
      <w:szCs w:val="16"/>
      <w:lang w:val="en-AU"/>
    </w:rPr>
  </w:style>
  <w:style w:type="paragraph" w:styleId="Heading7">
    <w:name w:val="heading 7"/>
    <w:basedOn w:val="Normal"/>
    <w:next w:val="Normal"/>
    <w:link w:val="Heading7Char"/>
    <w:semiHidden/>
    <w:unhideWhenUsed/>
    <w:qFormat/>
    <w:rsid w:val="004D7D16"/>
    <w:pPr>
      <w:autoSpaceDE w:val="0"/>
      <w:autoSpaceDN w:val="0"/>
      <w:spacing w:before="240" w:after="60" w:line="240" w:lineRule="auto"/>
      <w:ind w:left="5040" w:hanging="360"/>
      <w:jc w:val="left"/>
      <w:outlineLvl w:val="6"/>
    </w:pPr>
    <w:rPr>
      <w:rFonts w:ascii="Times New Roman" w:eastAsia="PMingLiU" w:hAnsi="Times New Roman"/>
      <w:noProof w:val="0"/>
      <w:color w:val="auto"/>
      <w:sz w:val="16"/>
      <w:szCs w:val="16"/>
      <w:lang w:val="en-AU"/>
    </w:rPr>
  </w:style>
  <w:style w:type="paragraph" w:styleId="Heading8">
    <w:name w:val="heading 8"/>
    <w:basedOn w:val="Normal"/>
    <w:next w:val="Normal"/>
    <w:link w:val="Heading8Char"/>
    <w:semiHidden/>
    <w:unhideWhenUsed/>
    <w:qFormat/>
    <w:rsid w:val="004D7D16"/>
    <w:pPr>
      <w:autoSpaceDE w:val="0"/>
      <w:autoSpaceDN w:val="0"/>
      <w:spacing w:before="240" w:after="60" w:line="240" w:lineRule="auto"/>
      <w:ind w:left="5760" w:hanging="360"/>
      <w:jc w:val="left"/>
      <w:outlineLvl w:val="7"/>
    </w:pPr>
    <w:rPr>
      <w:rFonts w:ascii="Times New Roman" w:eastAsia="PMingLiU" w:hAnsi="Times New Roman"/>
      <w:i/>
      <w:iCs/>
      <w:noProof w:val="0"/>
      <w:color w:val="auto"/>
      <w:sz w:val="16"/>
      <w:szCs w:val="16"/>
      <w:lang w:val="en-AU"/>
    </w:rPr>
  </w:style>
  <w:style w:type="paragraph" w:styleId="Heading9">
    <w:name w:val="heading 9"/>
    <w:basedOn w:val="Normal"/>
    <w:next w:val="Normal"/>
    <w:link w:val="Heading9Char"/>
    <w:semiHidden/>
    <w:unhideWhenUsed/>
    <w:qFormat/>
    <w:rsid w:val="004D7D16"/>
    <w:pPr>
      <w:autoSpaceDE w:val="0"/>
      <w:autoSpaceDN w:val="0"/>
      <w:spacing w:before="240" w:after="60" w:line="240" w:lineRule="auto"/>
      <w:ind w:left="6480" w:hanging="180"/>
      <w:jc w:val="left"/>
      <w:outlineLvl w:val="8"/>
    </w:pPr>
    <w:rPr>
      <w:rFonts w:ascii="Times New Roman" w:eastAsia="PMingLiU" w:hAnsi="Times New Roman"/>
      <w:noProof w:val="0"/>
      <w:color w:val="auto"/>
      <w:sz w:val="16"/>
      <w:szCs w:val="1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E93210"/>
    <w:pPr>
      <w:adjustRightInd w:val="0"/>
      <w:snapToGrid w:val="0"/>
      <w:spacing w:before="240"/>
    </w:pPr>
    <w:rPr>
      <w:rFonts w:eastAsia="Times New Roman"/>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eastAsia="Times New Roman"/>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eastAsia="Times New Roman"/>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eastAsia="Times New Roman"/>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pPr>
    <w:rPr>
      <w:rFonts w:eastAsia="Times New Roman"/>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pPr>
    <w:rPr>
      <w:rFonts w:eastAsia="Times New Roman"/>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pPr>
    <w:rPr>
      <w:rFonts w:eastAsia="Times New Roman"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E93210"/>
    <w:pPr>
      <w:spacing w:line="260" w:lineRule="atLeast"/>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pPr>
    <w:rPr>
      <w:rFonts w:eastAsia="Times New Roman"/>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pPr>
    <w:rPr>
      <w:rFonts w:eastAsia="Times New Roman"/>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pPr>
    <w:rPr>
      <w:rFonts w:eastAsia="Times New Roman"/>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pPr>
    <w:rPr>
      <w:rFonts w:eastAsia="Times New Roman"/>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pPr>
    <w:rPr>
      <w:rFonts w:eastAsia="Times New Roman"/>
      <w:snapToGrid w:val="0"/>
      <w:color w:val="000000"/>
      <w:szCs w:val="22"/>
      <w:lang w:eastAsia="de-DE" w:bidi="en-US"/>
    </w:rPr>
  </w:style>
  <w:style w:type="paragraph" w:customStyle="1" w:styleId="MDPI37itemize">
    <w:name w:val="MDPI_3.7_itemize"/>
    <w:qFormat/>
    <w:rsid w:val="00DC04F0"/>
    <w:pPr>
      <w:numPr>
        <w:numId w:val="2"/>
      </w:numPr>
      <w:adjustRightInd w:val="0"/>
      <w:snapToGrid w:val="0"/>
      <w:spacing w:line="228" w:lineRule="auto"/>
    </w:pPr>
    <w:rPr>
      <w:rFonts w:eastAsia="Times New Roman"/>
      <w:color w:val="000000"/>
      <w:szCs w:val="22"/>
      <w:lang w:eastAsia="de-DE" w:bidi="en-US"/>
    </w:rPr>
  </w:style>
  <w:style w:type="paragraph" w:customStyle="1" w:styleId="MDPI38bullet">
    <w:name w:val="MDPI_3.8_bullet"/>
    <w:qFormat/>
    <w:rsid w:val="00DC04F0"/>
    <w:pPr>
      <w:numPr>
        <w:numId w:val="1"/>
      </w:numPr>
      <w:adjustRightInd w:val="0"/>
      <w:snapToGrid w:val="0"/>
      <w:spacing w:line="228" w:lineRule="auto"/>
    </w:pPr>
    <w:rPr>
      <w:rFonts w:eastAsia="Times New Roman"/>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eastAsia="Times New Roman"/>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eastAsia="Times New Roman"/>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pPr>
    <w:rPr>
      <w:rFonts w:eastAsia="Times New Roman"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eastAsia="Times New Roman"/>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pPr>
    <w:rPr>
      <w:rFonts w:eastAsia="Times New Roman"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pPr>
    <w:rPr>
      <w:rFonts w:eastAsia="Times New Roman"/>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eastAsia="Times New Roman"/>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eastAsia="Times New Roman"/>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eastAsia="Times New Roman"/>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eastAsia="Times New Roman"/>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eastAsia="Times New Roman"/>
      <w:i/>
      <w:noProof/>
      <w:snapToGrid w:val="0"/>
      <w:color w:val="000000"/>
      <w:szCs w:val="22"/>
      <w:lang w:eastAsia="de-DE" w:bidi="en-US"/>
    </w:rPr>
  </w:style>
  <w:style w:type="paragraph" w:customStyle="1" w:styleId="MDPI71References">
    <w:name w:val="MDPI_7.1_References"/>
    <w:qFormat/>
    <w:rsid w:val="002532CA"/>
    <w:pPr>
      <w:tabs>
        <w:tab w:val="num" w:pos="720"/>
      </w:tabs>
      <w:adjustRightInd w:val="0"/>
      <w:snapToGrid w:val="0"/>
      <w:spacing w:line="228" w:lineRule="auto"/>
      <w:ind w:left="720" w:hanging="720"/>
    </w:pPr>
    <w:rPr>
      <w:rFonts w:eastAsia="Times New Roman"/>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1">
    <w:name w:val="Unresolved Mention1"/>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pPr>
    <w:rPr>
      <w:rFonts w:eastAsia="Times New Roman"/>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pPr>
    <w:rPr>
      <w:rFonts w:eastAsia="Times New Roman"/>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pPr>
    <w:rPr>
      <w:rFonts w:eastAsia="Times New Roman"/>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cs="Cordia New"/>
      <w:sz w:val="14"/>
      <w:szCs w:val="22"/>
    </w:rPr>
  </w:style>
  <w:style w:type="paragraph" w:customStyle="1" w:styleId="MDPI62BackMatter">
    <w:name w:val="MDPI_6.2_BackMatter"/>
    <w:qFormat/>
    <w:rsid w:val="00E93210"/>
    <w:pPr>
      <w:adjustRightInd w:val="0"/>
      <w:snapToGrid w:val="0"/>
      <w:spacing w:after="120" w:line="228" w:lineRule="auto"/>
      <w:ind w:left="2608"/>
    </w:pPr>
    <w:rPr>
      <w:rFonts w:eastAsia="Times New Roman"/>
      <w:snapToGrid w:val="0"/>
      <w:color w:val="000000"/>
      <w:sz w:val="18"/>
      <w:lang w:bidi="en-US"/>
    </w:rPr>
  </w:style>
  <w:style w:type="paragraph" w:customStyle="1" w:styleId="MDPI63Notes">
    <w:name w:val="MDPI_6.3_Notes"/>
    <w:qFormat/>
    <w:rsid w:val="00E93210"/>
    <w:pPr>
      <w:adjustRightInd w:val="0"/>
      <w:snapToGrid w:val="0"/>
      <w:spacing w:before="240" w:line="228" w:lineRule="auto"/>
    </w:pPr>
    <w:rPr>
      <w:snapToGrid w:val="0"/>
      <w:color w:val="000000"/>
      <w:sz w:val="18"/>
      <w:lang w:bidi="en-US"/>
    </w:rPr>
  </w:style>
  <w:style w:type="paragraph" w:customStyle="1" w:styleId="MDPI15academiceditor">
    <w:name w:val="MDPI_1.5_academic_editor"/>
    <w:qFormat/>
    <w:rsid w:val="00F8699A"/>
    <w:pPr>
      <w:adjustRightInd w:val="0"/>
      <w:snapToGrid w:val="0"/>
      <w:spacing w:before="120" w:line="240" w:lineRule="atLeast"/>
      <w:ind w:right="113"/>
    </w:pPr>
    <w:rPr>
      <w:rFonts w:eastAsia="Times New Roman"/>
      <w:color w:val="000000"/>
      <w:sz w:val="14"/>
      <w:szCs w:val="22"/>
      <w:lang w:eastAsia="de-DE" w:bidi="en-US"/>
    </w:rPr>
  </w:style>
  <w:style w:type="paragraph" w:customStyle="1" w:styleId="MDPI19classification">
    <w:name w:val="MDPI_1.9_classification"/>
    <w:qFormat/>
    <w:rsid w:val="00E93210"/>
    <w:pPr>
      <w:spacing w:before="240" w:line="260" w:lineRule="atLeast"/>
      <w:ind w:left="113"/>
    </w:pPr>
    <w:rPr>
      <w:rFonts w:eastAsia="Times New Roman"/>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pPr>
    <w:rPr>
      <w:rFonts w:eastAsia="Times New Roman"/>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eastAsia="Times New Roman"/>
      <w:color w:val="000000"/>
      <w:lang w:eastAsia="de-CH"/>
    </w:rPr>
  </w:style>
  <w:style w:type="paragraph" w:customStyle="1" w:styleId="MDPIequationFram">
    <w:name w:val="MDPI_equationFram"/>
    <w:qFormat/>
    <w:rsid w:val="00E93210"/>
    <w:pPr>
      <w:adjustRightInd w:val="0"/>
      <w:snapToGrid w:val="0"/>
      <w:spacing w:before="120" w:after="120"/>
      <w:jc w:val="center"/>
    </w:pPr>
    <w:rPr>
      <w:rFonts w:eastAsia="Times New Roman"/>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eastAsia="Times New Roman"/>
      <w:color w:val="000000"/>
      <w:lang w:eastAsia="de-DE"/>
    </w:rPr>
  </w:style>
  <w:style w:type="paragraph" w:customStyle="1" w:styleId="MDPIheader">
    <w:name w:val="MDPI_header"/>
    <w:qFormat/>
    <w:rsid w:val="00E93210"/>
    <w:pPr>
      <w:adjustRightInd w:val="0"/>
      <w:snapToGrid w:val="0"/>
      <w:spacing w:after="240" w:line="260" w:lineRule="atLeast"/>
    </w:pPr>
    <w:rPr>
      <w:rFonts w:eastAsia="Times New Roman"/>
      <w:iCs/>
      <w:color w:val="000000"/>
      <w:sz w:val="16"/>
      <w:lang w:eastAsia="de-DE"/>
    </w:rPr>
  </w:style>
  <w:style w:type="paragraph" w:customStyle="1" w:styleId="MDPIheadercitation">
    <w:name w:val="MDPI_header_citation"/>
    <w:rsid w:val="00E93210"/>
    <w:pPr>
      <w:spacing w:after="240"/>
    </w:pPr>
    <w:rPr>
      <w:rFonts w:eastAsia="Times New Roman"/>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eastAsia="Times New Roman"/>
      <w:color w:val="000000"/>
      <w:sz w:val="24"/>
      <w:szCs w:val="22"/>
      <w:lang w:eastAsia="de-CH"/>
    </w:rPr>
  </w:style>
  <w:style w:type="table" w:customStyle="1" w:styleId="MDPITable">
    <w:name w:val="MDPI_Table"/>
    <w:basedOn w:val="TableNormal"/>
    <w:uiPriority w:val="99"/>
    <w:rsid w:val="00E93210"/>
    <w:rPr>
      <w:color w:val="000000"/>
      <w:lang w:val="en-CA"/>
    </w:rPr>
    <w:tblPr>
      <w:tblCellMar>
        <w:left w:w="0" w:type="dxa"/>
        <w:right w:w="0" w:type="dxa"/>
      </w:tblCellMar>
    </w:tblPr>
  </w:style>
  <w:style w:type="paragraph" w:customStyle="1" w:styleId="MDPItext">
    <w:name w:val="MDPI_text"/>
    <w:qFormat/>
    <w:rsid w:val="00E93210"/>
    <w:pPr>
      <w:spacing w:line="260" w:lineRule="atLeast"/>
      <w:ind w:left="425" w:right="425" w:firstLine="284"/>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pPr>
    <w:rPr>
      <w:rFonts w:eastAsia="Times New Roman"/>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pPr>
    <w:rPr>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uiPriority w:val="99"/>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tabs>
        <w:tab w:val="num" w:pos="720"/>
      </w:tabs>
      <w:adjustRightInd w:val="0"/>
      <w:snapToGrid w:val="0"/>
      <w:spacing w:line="228" w:lineRule="auto"/>
      <w:ind w:left="720" w:hanging="720"/>
    </w:pPr>
    <w:rPr>
      <w:noProof/>
      <w:color w:val="000000"/>
      <w:sz w:val="18"/>
    </w:rPr>
  </w:style>
  <w:style w:type="paragraph" w:styleId="ListParagraph">
    <w:name w:val="List Paragraph"/>
    <w:basedOn w:val="Normal"/>
    <w:uiPriority w:val="34"/>
    <w:qFormat/>
    <w:rsid w:val="00F10C2C"/>
    <w:pPr>
      <w:ind w:left="720"/>
      <w:contextualSpacing/>
    </w:pPr>
  </w:style>
  <w:style w:type="table" w:customStyle="1" w:styleId="7">
    <w:name w:val="7"/>
    <w:basedOn w:val="TableNormal"/>
    <w:rsid w:val="00167C4F"/>
    <w:rPr>
      <w:rFonts w:eastAsia="Calibri" w:cs="Calibri"/>
      <w:sz w:val="24"/>
      <w:szCs w:val="24"/>
    </w:rPr>
    <w:tblPr>
      <w:tblStyleRowBandSize w:val="1"/>
      <w:tblStyleColBandSize w:val="1"/>
      <w:tblCellMar>
        <w:left w:w="115" w:type="dxa"/>
        <w:right w:w="115" w:type="dxa"/>
      </w:tblCellMar>
    </w:tblPr>
  </w:style>
  <w:style w:type="table" w:customStyle="1" w:styleId="5">
    <w:name w:val="5"/>
    <w:basedOn w:val="TableNormal"/>
    <w:rsid w:val="00934483"/>
    <w:rPr>
      <w:rFonts w:eastAsia="Calibri" w:cs="Calibri"/>
      <w:sz w:val="24"/>
      <w:szCs w:val="24"/>
    </w:rPr>
    <w:tblPr>
      <w:tblStyleRowBandSize w:val="1"/>
      <w:tblStyleColBandSize w:val="1"/>
      <w:tblCellMar>
        <w:left w:w="115" w:type="dxa"/>
        <w:right w:w="115" w:type="dxa"/>
      </w:tblCellMar>
    </w:tblPr>
  </w:style>
  <w:style w:type="character" w:customStyle="1" w:styleId="Heading2Char">
    <w:name w:val="Heading 2 Char"/>
    <w:basedOn w:val="DefaultParagraphFont"/>
    <w:link w:val="Heading2"/>
    <w:uiPriority w:val="9"/>
    <w:rsid w:val="00C97AF8"/>
    <w:rPr>
      <w:rFonts w:ascii="Times New Roman" w:eastAsia="Times New Roman" w:hAnsi="Times New Roman"/>
      <w:b/>
      <w:bCs/>
      <w:sz w:val="36"/>
      <w:szCs w:val="36"/>
      <w:lang w:eastAsia="en-US"/>
    </w:rPr>
  </w:style>
  <w:style w:type="character" w:customStyle="1" w:styleId="Heading1Char">
    <w:name w:val="Heading 1 Char"/>
    <w:basedOn w:val="DefaultParagraphFont"/>
    <w:link w:val="Heading1"/>
    <w:rsid w:val="004D7D16"/>
    <w:rPr>
      <w:rFonts w:ascii="Times New Roman" w:eastAsia="PMingLiU" w:hAnsi="Times New Roman"/>
      <w:smallCaps/>
      <w:kern w:val="28"/>
      <w:lang w:val="en-AU" w:eastAsia="en-US"/>
    </w:rPr>
  </w:style>
  <w:style w:type="character" w:customStyle="1" w:styleId="Heading3Char">
    <w:name w:val="Heading 3 Char"/>
    <w:basedOn w:val="DefaultParagraphFont"/>
    <w:link w:val="Heading3"/>
    <w:semiHidden/>
    <w:rsid w:val="004D7D16"/>
    <w:rPr>
      <w:rFonts w:ascii="Times New Roman" w:eastAsia="PMingLiU" w:hAnsi="Times New Roman"/>
      <w:i/>
      <w:iCs/>
      <w:lang w:val="en-AU" w:eastAsia="en-US"/>
    </w:rPr>
  </w:style>
  <w:style w:type="character" w:customStyle="1" w:styleId="Heading4Char">
    <w:name w:val="Heading 4 Char"/>
    <w:basedOn w:val="DefaultParagraphFont"/>
    <w:link w:val="Heading4"/>
    <w:semiHidden/>
    <w:rsid w:val="004D7D16"/>
    <w:rPr>
      <w:rFonts w:ascii="Times New Roman" w:eastAsia="PMingLiU" w:hAnsi="Times New Roman"/>
      <w:i/>
      <w:iCs/>
      <w:sz w:val="18"/>
      <w:szCs w:val="18"/>
      <w:lang w:val="en-AU" w:eastAsia="en-US"/>
    </w:rPr>
  </w:style>
  <w:style w:type="character" w:customStyle="1" w:styleId="Heading5Char">
    <w:name w:val="Heading 5 Char"/>
    <w:basedOn w:val="DefaultParagraphFont"/>
    <w:link w:val="Heading5"/>
    <w:rsid w:val="004D7D16"/>
    <w:rPr>
      <w:rFonts w:ascii="Times New Roman" w:eastAsia="PMingLiU" w:hAnsi="Times New Roman"/>
      <w:sz w:val="18"/>
      <w:szCs w:val="18"/>
      <w:lang w:val="en-AU" w:eastAsia="en-US"/>
    </w:rPr>
  </w:style>
  <w:style w:type="character" w:customStyle="1" w:styleId="Heading6Char">
    <w:name w:val="Heading 6 Char"/>
    <w:basedOn w:val="DefaultParagraphFont"/>
    <w:link w:val="Heading6"/>
    <w:semiHidden/>
    <w:rsid w:val="004D7D16"/>
    <w:rPr>
      <w:rFonts w:ascii="Times New Roman" w:eastAsia="PMingLiU" w:hAnsi="Times New Roman"/>
      <w:i/>
      <w:iCs/>
      <w:sz w:val="16"/>
      <w:szCs w:val="16"/>
      <w:lang w:val="en-AU" w:eastAsia="en-US"/>
    </w:rPr>
  </w:style>
  <w:style w:type="character" w:customStyle="1" w:styleId="Heading7Char">
    <w:name w:val="Heading 7 Char"/>
    <w:basedOn w:val="DefaultParagraphFont"/>
    <w:link w:val="Heading7"/>
    <w:semiHidden/>
    <w:rsid w:val="004D7D16"/>
    <w:rPr>
      <w:rFonts w:ascii="Times New Roman" w:eastAsia="PMingLiU" w:hAnsi="Times New Roman"/>
      <w:sz w:val="16"/>
      <w:szCs w:val="16"/>
      <w:lang w:val="en-AU" w:eastAsia="en-US"/>
    </w:rPr>
  </w:style>
  <w:style w:type="character" w:customStyle="1" w:styleId="Heading8Char">
    <w:name w:val="Heading 8 Char"/>
    <w:basedOn w:val="DefaultParagraphFont"/>
    <w:link w:val="Heading8"/>
    <w:semiHidden/>
    <w:rsid w:val="004D7D16"/>
    <w:rPr>
      <w:rFonts w:ascii="Times New Roman" w:eastAsia="PMingLiU" w:hAnsi="Times New Roman"/>
      <w:i/>
      <w:iCs/>
      <w:sz w:val="16"/>
      <w:szCs w:val="16"/>
      <w:lang w:val="en-AU" w:eastAsia="en-US"/>
    </w:rPr>
  </w:style>
  <w:style w:type="character" w:customStyle="1" w:styleId="Heading9Char">
    <w:name w:val="Heading 9 Char"/>
    <w:basedOn w:val="DefaultParagraphFont"/>
    <w:link w:val="Heading9"/>
    <w:semiHidden/>
    <w:rsid w:val="004D7D16"/>
    <w:rPr>
      <w:rFonts w:ascii="Times New Roman" w:eastAsia="PMingLiU" w:hAnsi="Times New Roman"/>
      <w:sz w:val="16"/>
      <w:szCs w:val="16"/>
      <w:lang w:val="en-AU" w:eastAsia="en-US"/>
    </w:rPr>
  </w:style>
  <w:style w:type="paragraph" w:styleId="NoSpacing">
    <w:name w:val="No Spacing"/>
    <w:link w:val="NoSpacingChar"/>
    <w:uiPriority w:val="1"/>
    <w:qFormat/>
    <w:rsid w:val="007217A4"/>
    <w:rPr>
      <w:rFonts w:eastAsia="Calibri"/>
      <w:sz w:val="22"/>
      <w:szCs w:val="22"/>
    </w:rPr>
  </w:style>
  <w:style w:type="character" w:customStyle="1" w:styleId="NoSpacingChar">
    <w:name w:val="No Spacing Char"/>
    <w:basedOn w:val="DefaultParagraphFont"/>
    <w:link w:val="NoSpacing"/>
    <w:uiPriority w:val="1"/>
    <w:rsid w:val="007217A4"/>
    <w:rPr>
      <w:rFonts w:eastAsia="Calibri"/>
      <w:sz w:val="22"/>
      <w:szCs w:val="22"/>
      <w:lang w:eastAsia="en-US"/>
    </w:rPr>
  </w:style>
  <w:style w:type="paragraph" w:customStyle="1" w:styleId="IEEEParagraph">
    <w:name w:val="IEEE Paragraph"/>
    <w:basedOn w:val="Normal"/>
    <w:link w:val="IEEEParagraphChar"/>
    <w:rsid w:val="00976FDA"/>
    <w:pPr>
      <w:adjustRightInd w:val="0"/>
      <w:snapToGrid w:val="0"/>
      <w:spacing w:line="240" w:lineRule="auto"/>
      <w:ind w:firstLine="216"/>
    </w:pPr>
    <w:rPr>
      <w:rFonts w:ascii="Times New Roman" w:hAnsi="Times New Roman"/>
      <w:noProof w:val="0"/>
      <w:color w:val="auto"/>
      <w:szCs w:val="24"/>
      <w:lang w:val="en-AU"/>
    </w:rPr>
  </w:style>
  <w:style w:type="character" w:customStyle="1" w:styleId="IEEEParagraphChar">
    <w:name w:val="IEEE Paragraph Char"/>
    <w:link w:val="IEEEParagraph"/>
    <w:rsid w:val="00976FDA"/>
    <w:rPr>
      <w:rFonts w:ascii="Times New Roman" w:hAnsi="Times New Roman"/>
      <w:szCs w:val="24"/>
      <w:lang w:val="en-AU"/>
    </w:rPr>
  </w:style>
  <w:style w:type="character" w:styleId="Emphasis">
    <w:name w:val="Emphasis"/>
    <w:basedOn w:val="DefaultParagraphFont"/>
    <w:uiPriority w:val="20"/>
    <w:qFormat/>
    <w:rsid w:val="00E00755"/>
    <w:rPr>
      <w:i/>
      <w:iCs/>
    </w:rPr>
  </w:style>
  <w:style w:type="paragraph" w:styleId="z-TopofForm">
    <w:name w:val="HTML Top of Form"/>
    <w:basedOn w:val="Normal"/>
    <w:next w:val="Normal"/>
    <w:link w:val="z-TopofFormChar"/>
    <w:hidden/>
    <w:uiPriority w:val="99"/>
    <w:semiHidden/>
    <w:unhideWhenUsed/>
    <w:rsid w:val="00E00755"/>
    <w:pPr>
      <w:pBdr>
        <w:bottom w:val="single" w:sz="6" w:space="1" w:color="auto"/>
      </w:pBdr>
      <w:spacing w:line="240" w:lineRule="auto"/>
      <w:jc w:val="center"/>
    </w:pPr>
    <w:rPr>
      <w:rFonts w:ascii="Arial" w:eastAsia="Times New Roman" w:hAnsi="Arial" w:cs="Arial"/>
      <w:noProof w:val="0"/>
      <w:vanish/>
      <w:color w:val="auto"/>
      <w:sz w:val="16"/>
      <w:szCs w:val="16"/>
    </w:rPr>
  </w:style>
  <w:style w:type="character" w:customStyle="1" w:styleId="z-TopofFormChar">
    <w:name w:val="z-Top of Form Char"/>
    <w:basedOn w:val="DefaultParagraphFont"/>
    <w:link w:val="z-TopofForm"/>
    <w:uiPriority w:val="99"/>
    <w:semiHidden/>
    <w:rsid w:val="00E00755"/>
    <w:rPr>
      <w:rFonts w:ascii="Arial" w:eastAsia="Times New Roman" w:hAnsi="Arial" w:cs="Arial"/>
      <w:vanish/>
      <w:sz w:val="16"/>
      <w:szCs w:val="16"/>
      <w:lang w:eastAsia="en-US"/>
    </w:rPr>
  </w:style>
  <w:style w:type="table" w:customStyle="1" w:styleId="1">
    <w:name w:val="1"/>
    <w:basedOn w:val="TableNormal"/>
    <w:rsid w:val="00034FEC"/>
    <w:pPr>
      <w:widowControl w:val="0"/>
    </w:pPr>
    <w:rPr>
      <w:rFonts w:eastAsia="Calibri" w:cs="Calibri"/>
    </w:rPr>
    <w:tblPr>
      <w:tblStyleRowBandSize w:val="1"/>
      <w:tblStyleColBandSize w:val="1"/>
      <w:tblInd w:w="0" w:type="nil"/>
    </w:tblPr>
  </w:style>
  <w:style w:type="character" w:styleId="UnresolvedMention">
    <w:name w:val="Unresolved Mention"/>
    <w:basedOn w:val="DefaultParagraphFont"/>
    <w:uiPriority w:val="99"/>
    <w:semiHidden/>
    <w:unhideWhenUsed/>
    <w:rsid w:val="004F482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widowControl w:val="0"/>
      <w:spacing w:line="300" w:lineRule="auto"/>
    </w:pPr>
    <w:rPr>
      <w:color w:val="000000"/>
      <w:sz w:val="24"/>
      <w:szCs w:val="24"/>
    </w:rPr>
    <w:tblPr>
      <w:tblStyleRowBandSize w:val="1"/>
      <w:tblStyleColBandSize w:val="1"/>
      <w:tblCellMar>
        <w:left w:w="0" w:type="dxa"/>
        <w:right w:w="0" w:type="dxa"/>
      </w:tblCellMar>
    </w:tblPr>
    <w:tcPr>
      <w:vAlign w:val="center"/>
    </w:tcPr>
  </w:style>
  <w:style w:type="table" w:customStyle="1" w:styleId="a1">
    <w:basedOn w:val="TableNormal"/>
    <w:pPr>
      <w:widowControl w:val="0"/>
      <w:spacing w:line="300" w:lineRule="auto"/>
      <w:jc w:val="center"/>
    </w:pPr>
    <w:rPr>
      <w:rFonts w:ascii="Times New Roman" w:eastAsia="Times New Roman" w:hAnsi="Times New Roman" w:cs="Times New Roman"/>
      <w:color w:val="000000"/>
      <w:sz w:val="24"/>
      <w:szCs w:val="24"/>
    </w:rPr>
    <w:tblPr>
      <w:tblStyleRowBandSize w:val="1"/>
      <w:tblStyleColBandSize w:val="1"/>
      <w:tblCellMar>
        <w:left w:w="115" w:type="dxa"/>
        <w:right w:w="115" w:type="dxa"/>
      </w:tblCellMar>
    </w:tblPr>
    <w:tcPr>
      <w:vAlign w:val="center"/>
    </w:tcPr>
  </w:style>
  <w:style w:type="table" w:customStyle="1" w:styleId="a2">
    <w:basedOn w:val="TableNormal"/>
    <w:pPr>
      <w:widowControl w:val="0"/>
      <w:spacing w:line="300" w:lineRule="auto"/>
      <w:jc w:val="center"/>
    </w:pPr>
    <w:rPr>
      <w:rFonts w:ascii="Times New Roman" w:eastAsia="Times New Roman" w:hAnsi="Times New Roman" w:cs="Times New Roman"/>
      <w:color w:val="000000"/>
      <w:sz w:val="24"/>
      <w:szCs w:val="24"/>
    </w:rPr>
    <w:tblPr>
      <w:tblStyleRowBandSize w:val="1"/>
      <w:tblStyleColBandSize w:val="1"/>
      <w:tblCellMar>
        <w:left w:w="115" w:type="dxa"/>
        <w:right w:w="115"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79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mailto:awssbio61@uomosul.edu.iq" TargetMode="External"/><Relationship Id="rId14" Type="http://schemas.openxmlformats.org/officeDocument/2006/relationships/image" Target="media/image5.jp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biojournals.us/index.php/AJBNS" TargetMode="External"/><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rnUkNpoa4mn2fqEDycSwsJGIQ==">CgMxLjAyCGguZ2pkZ3hzOAByITFVXzJCZkI5VFMwVHV6dWV2Q1FBcGVpZEhUaHZjZXBsUw==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Sex Distribution and Hematological Profiles of Selected Gastrointestinal Cancers in Nineveh Governorate, Iraq</vt:lpstr>
    </vt:vector>
  </TitlesOfParts>
  <Manager>Editor in Chief</Manager>
  <Company>AMERICAN JOURNAL OF BIOLOGY AND NATURAL SCIENCES</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Isolation and Identification of Enterococcus faecalis and Enterococcus lactis from Human Clinical Specimens</dc:title>
  <dc:subject>AMERICAN JOURNAL OF BIOLOGY AND NATURAL SCIENCES</dc:subject>
  <dc:creator>Israa Omar Humaidan;Aws Ibrahim Sulaiman</dc:creator>
  <cp:keywords>Cancer Enterococcus faecalis, Enterococcus lactis, Soft Tissue Infections, Antimicrobial Resistance, Virulence Genes, 16S rRNA</cp:keywords>
  <cp:lastModifiedBy>Antstore</cp:lastModifiedBy>
  <cp:revision>41</cp:revision>
  <dcterms:created xsi:type="dcterms:W3CDTF">2026-06-12T20:56:00Z</dcterms:created>
  <dcterms:modified xsi:type="dcterms:W3CDTF">2026-07-20T08:41:00Z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6ca965ad-f4fb-303b-b566-fcc02e7a0a3a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